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9C1AA" w14:textId="77777777" w:rsidR="009F1AB7" w:rsidRDefault="009F1AB7" w:rsidP="00854532">
      <w:pPr>
        <w:pStyle w:val="BodyText"/>
        <w:spacing w:before="99"/>
        <w:ind w:left="0" w:firstLine="0"/>
        <w:jc w:val="center"/>
        <w:rPr>
          <w:rFonts w:ascii="Century Gothic" w:eastAsia="Century Gothic" w:hAnsi="Century Gothic" w:cs="Century Gothic"/>
          <w:b/>
          <w:bCs/>
          <w:color w:val="002060"/>
          <w:sz w:val="36"/>
          <w:szCs w:val="36"/>
        </w:rPr>
      </w:pPr>
    </w:p>
    <w:p w14:paraId="01AA0AA3" w14:textId="4DD089F8" w:rsidR="0012102D" w:rsidRPr="00854532" w:rsidRDefault="00A571DD" w:rsidP="00854532">
      <w:pPr>
        <w:pStyle w:val="BodyText"/>
        <w:spacing w:before="99"/>
        <w:ind w:left="0" w:firstLine="0"/>
        <w:jc w:val="center"/>
        <w:rPr>
          <w:rFonts w:ascii="Century Gothic" w:eastAsia="Century Gothic" w:hAnsi="Century Gothic" w:cs="Century Gothic"/>
          <w:b/>
          <w:bCs/>
          <w:color w:val="002060"/>
          <w:sz w:val="36"/>
          <w:szCs w:val="36"/>
        </w:rPr>
      </w:pPr>
      <w:r w:rsidRPr="00854532">
        <w:rPr>
          <w:rFonts w:ascii="Century Gothic" w:eastAsia="Century Gothic" w:hAnsi="Century Gothic" w:cs="Century Gothic"/>
          <w:b/>
          <w:bCs/>
          <w:color w:val="002060"/>
          <w:sz w:val="36"/>
          <w:szCs w:val="36"/>
        </w:rPr>
        <w:t>Florida Trust Custodian Bank RFP- 2026</w:t>
      </w:r>
    </w:p>
    <w:p w14:paraId="2A684878" w14:textId="77777777" w:rsidR="00A571DD" w:rsidRPr="00A571DD" w:rsidRDefault="00A571DD">
      <w:pPr>
        <w:pStyle w:val="BodyText"/>
        <w:spacing w:before="99"/>
        <w:ind w:left="0" w:firstLine="0"/>
        <w:rPr>
          <w:rFonts w:ascii="Century Gothic" w:eastAsia="Century Gothic" w:hAnsi="Century Gothic" w:cs="Century Gothic"/>
          <w:b/>
          <w:bCs/>
          <w:color w:val="002060"/>
          <w:sz w:val="28"/>
          <w:szCs w:val="28"/>
        </w:rPr>
      </w:pPr>
    </w:p>
    <w:p w14:paraId="180F1C4A" w14:textId="77A14A3D" w:rsidR="007B115F" w:rsidRPr="00A571DD" w:rsidRDefault="00AD092F">
      <w:pPr>
        <w:pStyle w:val="BodyText"/>
        <w:spacing w:before="99"/>
        <w:ind w:left="0" w:firstLine="0"/>
        <w:rPr>
          <w:rFonts w:ascii="Century Gothic" w:eastAsia="Century Gothic" w:hAnsi="Century Gothic" w:cs="Century Gothic"/>
          <w:b/>
          <w:bCs/>
          <w:color w:val="002060"/>
          <w:sz w:val="28"/>
          <w:szCs w:val="28"/>
        </w:rPr>
      </w:pPr>
      <w:r w:rsidRPr="00A571DD">
        <w:rPr>
          <w:rFonts w:ascii="Century Gothic" w:eastAsia="Century Gothic" w:hAnsi="Century Gothic" w:cs="Century Gothic"/>
          <w:b/>
          <w:bCs/>
          <w:color w:val="002060"/>
          <w:sz w:val="28"/>
          <w:szCs w:val="28"/>
        </w:rPr>
        <w:t>Clarifying Questions- Vendor 1</w:t>
      </w:r>
    </w:p>
    <w:p w14:paraId="3BE18194" w14:textId="77777777" w:rsidR="00AD092F" w:rsidRDefault="00AD092F">
      <w:pPr>
        <w:pStyle w:val="BodyText"/>
        <w:spacing w:before="99"/>
        <w:ind w:left="0" w:firstLine="0"/>
        <w:rPr>
          <w:rFonts w:ascii="Calibri"/>
          <w:i/>
          <w:sz w:val="20"/>
        </w:rPr>
      </w:pPr>
    </w:p>
    <w:p w14:paraId="07599B22" w14:textId="77777777" w:rsidR="00A571DD" w:rsidRDefault="00A571DD">
      <w:pPr>
        <w:spacing w:before="1"/>
        <w:ind w:left="360"/>
        <w:rPr>
          <w:b/>
          <w:color w:val="636369"/>
          <w:sz w:val="20"/>
        </w:rPr>
      </w:pPr>
    </w:p>
    <w:p w14:paraId="180F1C4B" w14:textId="7DB0EBF9" w:rsidR="007B115F" w:rsidRDefault="006F2552">
      <w:pPr>
        <w:spacing w:before="1"/>
        <w:ind w:left="360"/>
        <w:rPr>
          <w:b/>
          <w:sz w:val="20"/>
        </w:rPr>
      </w:pPr>
      <w:r>
        <w:rPr>
          <w:b/>
          <w:color w:val="636369"/>
          <w:sz w:val="20"/>
        </w:rPr>
        <w:t>General</w:t>
      </w:r>
      <w:r>
        <w:rPr>
          <w:b/>
          <w:color w:val="636369"/>
          <w:spacing w:val="9"/>
          <w:sz w:val="20"/>
        </w:rPr>
        <w:t xml:space="preserve"> </w:t>
      </w:r>
      <w:r>
        <w:rPr>
          <w:b/>
          <w:color w:val="636369"/>
          <w:spacing w:val="-2"/>
          <w:sz w:val="20"/>
        </w:rPr>
        <w:t>Questions:</w:t>
      </w:r>
    </w:p>
    <w:p w14:paraId="180F1C4C" w14:textId="6D8D509B" w:rsidR="007B115F" w:rsidRDefault="006F2552">
      <w:pPr>
        <w:pStyle w:val="ListParagraph"/>
        <w:numPr>
          <w:ilvl w:val="0"/>
          <w:numId w:val="1"/>
        </w:numPr>
        <w:tabs>
          <w:tab w:val="left" w:pos="1078"/>
        </w:tabs>
        <w:spacing w:before="41"/>
        <w:ind w:left="1078" w:hanging="358"/>
      </w:pPr>
      <w:r>
        <w:rPr>
          <w:color w:val="636369"/>
        </w:rPr>
        <w:t>Why</w:t>
      </w:r>
      <w:r>
        <w:rPr>
          <w:color w:val="636369"/>
          <w:spacing w:val="-2"/>
        </w:rPr>
        <w:t xml:space="preserve"> </w:t>
      </w:r>
      <w:r>
        <w:rPr>
          <w:color w:val="636369"/>
        </w:rPr>
        <w:t>is</w:t>
      </w:r>
      <w:r>
        <w:rPr>
          <w:color w:val="636369"/>
          <w:spacing w:val="-2"/>
        </w:rPr>
        <w:t xml:space="preserve"> </w:t>
      </w:r>
      <w:r>
        <w:rPr>
          <w:color w:val="636369"/>
        </w:rPr>
        <w:t>this</w:t>
      </w:r>
      <w:r>
        <w:rPr>
          <w:color w:val="636369"/>
          <w:spacing w:val="-2"/>
        </w:rPr>
        <w:t xml:space="preserve"> </w:t>
      </w:r>
      <w:r>
        <w:rPr>
          <w:color w:val="636369"/>
        </w:rPr>
        <w:t>RFP</w:t>
      </w:r>
      <w:r>
        <w:rPr>
          <w:color w:val="636369"/>
          <w:spacing w:val="-3"/>
        </w:rPr>
        <w:t xml:space="preserve"> </w:t>
      </w:r>
      <w:r>
        <w:rPr>
          <w:color w:val="636369"/>
        </w:rPr>
        <w:t>being</w:t>
      </w:r>
      <w:r>
        <w:rPr>
          <w:color w:val="636369"/>
          <w:spacing w:val="-3"/>
        </w:rPr>
        <w:t xml:space="preserve"> </w:t>
      </w:r>
      <w:r>
        <w:rPr>
          <w:color w:val="636369"/>
          <w:spacing w:val="-2"/>
        </w:rPr>
        <w:t>issued?</w:t>
      </w:r>
      <w:r w:rsidR="00AD092F">
        <w:rPr>
          <w:color w:val="636369"/>
          <w:spacing w:val="-2"/>
        </w:rPr>
        <w:t xml:space="preserve"> </w:t>
      </w:r>
      <w:r w:rsidR="00E03264">
        <w:rPr>
          <w:color w:val="0070C0"/>
          <w:spacing w:val="-2"/>
        </w:rPr>
        <w:t xml:space="preserve">As part of their </w:t>
      </w:r>
      <w:r w:rsidR="005C43FB">
        <w:rPr>
          <w:color w:val="0070C0"/>
          <w:spacing w:val="-2"/>
        </w:rPr>
        <w:t>duties</w:t>
      </w:r>
      <w:r w:rsidR="00E21BED">
        <w:rPr>
          <w:color w:val="0070C0"/>
          <w:spacing w:val="-2"/>
        </w:rPr>
        <w:t xml:space="preserve"> of oversight of the Trust, the Board of Trustees </w:t>
      </w:r>
      <w:r w:rsidR="006E7312">
        <w:rPr>
          <w:color w:val="0070C0"/>
          <w:spacing w:val="-2"/>
        </w:rPr>
        <w:t>periodically issues RFPs to ensure</w:t>
      </w:r>
      <w:r w:rsidR="00CC04A9">
        <w:rPr>
          <w:color w:val="0070C0"/>
          <w:spacing w:val="-2"/>
        </w:rPr>
        <w:t xml:space="preserve"> that pricing and scope of </w:t>
      </w:r>
      <w:r w:rsidR="006E7312">
        <w:rPr>
          <w:color w:val="0070C0"/>
          <w:spacing w:val="-2"/>
        </w:rPr>
        <w:t>services remain competitive within the marketplace.</w:t>
      </w:r>
    </w:p>
    <w:p w14:paraId="180F1C4D" w14:textId="7FAE2027" w:rsidR="007B115F" w:rsidRDefault="006F2552">
      <w:pPr>
        <w:pStyle w:val="ListParagraph"/>
        <w:numPr>
          <w:ilvl w:val="0"/>
          <w:numId w:val="1"/>
        </w:numPr>
        <w:tabs>
          <w:tab w:val="left" w:pos="1078"/>
        </w:tabs>
        <w:spacing w:before="62"/>
        <w:ind w:left="1078" w:hanging="358"/>
      </w:pPr>
      <w:r>
        <w:rPr>
          <w:color w:val="636369"/>
        </w:rPr>
        <w:t>Are</w:t>
      </w:r>
      <w:r>
        <w:rPr>
          <w:color w:val="636369"/>
          <w:spacing w:val="-3"/>
        </w:rPr>
        <w:t xml:space="preserve"> </w:t>
      </w:r>
      <w:r>
        <w:rPr>
          <w:color w:val="636369"/>
        </w:rPr>
        <w:t>there</w:t>
      </w:r>
      <w:r>
        <w:rPr>
          <w:color w:val="636369"/>
          <w:spacing w:val="-1"/>
        </w:rPr>
        <w:t xml:space="preserve"> </w:t>
      </w:r>
      <w:r>
        <w:rPr>
          <w:color w:val="636369"/>
        </w:rPr>
        <w:t>any</w:t>
      </w:r>
      <w:r>
        <w:rPr>
          <w:color w:val="636369"/>
          <w:spacing w:val="-3"/>
        </w:rPr>
        <w:t xml:space="preserve"> </w:t>
      </w:r>
      <w:r>
        <w:rPr>
          <w:color w:val="636369"/>
        </w:rPr>
        <w:t>pain</w:t>
      </w:r>
      <w:r>
        <w:rPr>
          <w:color w:val="636369"/>
          <w:spacing w:val="-6"/>
        </w:rPr>
        <w:t xml:space="preserve"> </w:t>
      </w:r>
      <w:r>
        <w:rPr>
          <w:color w:val="636369"/>
        </w:rPr>
        <w:t>points</w:t>
      </w:r>
      <w:r>
        <w:rPr>
          <w:color w:val="636369"/>
          <w:spacing w:val="-3"/>
        </w:rPr>
        <w:t xml:space="preserve"> </w:t>
      </w:r>
      <w:r>
        <w:rPr>
          <w:color w:val="636369"/>
        </w:rPr>
        <w:t>or</w:t>
      </w:r>
      <w:r>
        <w:rPr>
          <w:color w:val="636369"/>
          <w:spacing w:val="-2"/>
        </w:rPr>
        <w:t xml:space="preserve"> </w:t>
      </w:r>
      <w:r>
        <w:rPr>
          <w:color w:val="636369"/>
        </w:rPr>
        <w:t>challenges</w:t>
      </w:r>
      <w:r>
        <w:rPr>
          <w:color w:val="636369"/>
          <w:spacing w:val="-3"/>
        </w:rPr>
        <w:t xml:space="preserve"> </w:t>
      </w:r>
      <w:r>
        <w:rPr>
          <w:color w:val="636369"/>
        </w:rPr>
        <w:t>that</w:t>
      </w:r>
      <w:r>
        <w:rPr>
          <w:color w:val="636369"/>
          <w:spacing w:val="-5"/>
        </w:rPr>
        <w:t xml:space="preserve"> </w:t>
      </w:r>
      <w:r>
        <w:rPr>
          <w:color w:val="636369"/>
        </w:rPr>
        <w:t>the plans</w:t>
      </w:r>
      <w:r>
        <w:rPr>
          <w:color w:val="636369"/>
          <w:spacing w:val="-4"/>
        </w:rPr>
        <w:t xml:space="preserve"> </w:t>
      </w:r>
      <w:r>
        <w:rPr>
          <w:color w:val="636369"/>
        </w:rPr>
        <w:t>are looking</w:t>
      </w:r>
      <w:r>
        <w:rPr>
          <w:color w:val="636369"/>
          <w:spacing w:val="-6"/>
        </w:rPr>
        <w:t xml:space="preserve"> </w:t>
      </w:r>
      <w:r>
        <w:rPr>
          <w:color w:val="636369"/>
        </w:rPr>
        <w:t xml:space="preserve">to </w:t>
      </w:r>
      <w:r>
        <w:rPr>
          <w:color w:val="636369"/>
          <w:spacing w:val="-2"/>
        </w:rPr>
        <w:t>address?</w:t>
      </w:r>
      <w:r w:rsidR="006A7C29">
        <w:rPr>
          <w:color w:val="636369"/>
          <w:spacing w:val="-2"/>
        </w:rPr>
        <w:t xml:space="preserve"> </w:t>
      </w:r>
      <w:r w:rsidR="006A7C29">
        <w:rPr>
          <w:color w:val="0070C0"/>
          <w:spacing w:val="-2"/>
        </w:rPr>
        <w:t>No</w:t>
      </w:r>
      <w:r w:rsidR="00BE5EAC">
        <w:rPr>
          <w:color w:val="0070C0"/>
          <w:spacing w:val="-2"/>
        </w:rPr>
        <w:t>. All required or requested features are listed in the RFP.</w:t>
      </w:r>
    </w:p>
    <w:p w14:paraId="180F1C4E" w14:textId="21409B45" w:rsidR="007B115F" w:rsidRDefault="006F2552">
      <w:pPr>
        <w:pStyle w:val="ListParagraph"/>
        <w:numPr>
          <w:ilvl w:val="0"/>
          <w:numId w:val="1"/>
        </w:numPr>
        <w:tabs>
          <w:tab w:val="left" w:pos="1078"/>
        </w:tabs>
        <w:spacing w:before="67" w:line="251" w:lineRule="exact"/>
        <w:ind w:left="1078" w:hanging="358"/>
      </w:pPr>
      <w:r>
        <w:rPr>
          <w:color w:val="636369"/>
        </w:rPr>
        <w:t>Please</w:t>
      </w:r>
      <w:r>
        <w:rPr>
          <w:color w:val="636369"/>
          <w:spacing w:val="-5"/>
        </w:rPr>
        <w:t xml:space="preserve"> </w:t>
      </w:r>
      <w:r>
        <w:rPr>
          <w:color w:val="636369"/>
        </w:rPr>
        <w:t>confirm</w:t>
      </w:r>
      <w:r>
        <w:rPr>
          <w:color w:val="636369"/>
          <w:spacing w:val="-3"/>
        </w:rPr>
        <w:t xml:space="preserve"> </w:t>
      </w:r>
      <w:r>
        <w:rPr>
          <w:color w:val="636369"/>
        </w:rPr>
        <w:t>the</w:t>
      </w:r>
      <w:r>
        <w:rPr>
          <w:color w:val="636369"/>
          <w:spacing w:val="1"/>
        </w:rPr>
        <w:t xml:space="preserve"> </w:t>
      </w:r>
      <w:r>
        <w:rPr>
          <w:color w:val="636369"/>
        </w:rPr>
        <w:t>account</w:t>
      </w:r>
      <w:r>
        <w:rPr>
          <w:color w:val="636369"/>
          <w:spacing w:val="-6"/>
        </w:rPr>
        <w:t xml:space="preserve"> </w:t>
      </w:r>
      <w:r>
        <w:rPr>
          <w:color w:val="636369"/>
        </w:rPr>
        <w:t>types</w:t>
      </w:r>
      <w:r>
        <w:rPr>
          <w:color w:val="636369"/>
          <w:spacing w:val="-5"/>
        </w:rPr>
        <w:t xml:space="preserve"> </w:t>
      </w:r>
      <w:r>
        <w:rPr>
          <w:color w:val="636369"/>
        </w:rPr>
        <w:t>for</w:t>
      </w:r>
      <w:r>
        <w:rPr>
          <w:color w:val="636369"/>
          <w:spacing w:val="-3"/>
        </w:rPr>
        <w:t xml:space="preserve"> </w:t>
      </w:r>
      <w:r>
        <w:rPr>
          <w:color w:val="636369"/>
        </w:rPr>
        <w:t>investor</w:t>
      </w:r>
      <w:r>
        <w:rPr>
          <w:color w:val="636369"/>
          <w:spacing w:val="-3"/>
        </w:rPr>
        <w:t xml:space="preserve"> </w:t>
      </w:r>
      <w:r>
        <w:rPr>
          <w:color w:val="636369"/>
        </w:rPr>
        <w:t>accounts,</w:t>
      </w:r>
      <w:r>
        <w:rPr>
          <w:color w:val="636369"/>
          <w:spacing w:val="-6"/>
        </w:rPr>
        <w:t xml:space="preserve"> </w:t>
      </w:r>
      <w:proofErr w:type="spellStart"/>
      <w:r>
        <w:rPr>
          <w:color w:val="636369"/>
        </w:rPr>
        <w:t>i.e</w:t>
      </w:r>
      <w:proofErr w:type="spellEnd"/>
      <w:r>
        <w:rPr>
          <w:color w:val="636369"/>
          <w:spacing w:val="-2"/>
        </w:rPr>
        <w:t xml:space="preserve"> </w:t>
      </w:r>
      <w:r>
        <w:rPr>
          <w:color w:val="636369"/>
        </w:rPr>
        <w:t>municipal</w:t>
      </w:r>
      <w:r>
        <w:rPr>
          <w:color w:val="636369"/>
          <w:spacing w:val="-8"/>
        </w:rPr>
        <w:t xml:space="preserve"> </w:t>
      </w:r>
      <w:r>
        <w:rPr>
          <w:color w:val="636369"/>
        </w:rPr>
        <w:t>operational</w:t>
      </w:r>
      <w:r>
        <w:rPr>
          <w:color w:val="636369"/>
          <w:spacing w:val="-4"/>
        </w:rPr>
        <w:t xml:space="preserve"> </w:t>
      </w:r>
      <w:r>
        <w:rPr>
          <w:color w:val="636369"/>
        </w:rPr>
        <w:t>type</w:t>
      </w:r>
      <w:r>
        <w:rPr>
          <w:color w:val="636369"/>
          <w:spacing w:val="-2"/>
        </w:rPr>
        <w:t xml:space="preserve"> accounts?</w:t>
      </w:r>
      <w:r w:rsidR="00CC04A9">
        <w:rPr>
          <w:color w:val="636369"/>
          <w:spacing w:val="-2"/>
        </w:rPr>
        <w:t xml:space="preserve"> </w:t>
      </w:r>
      <w:proofErr w:type="gramStart"/>
      <w:r w:rsidR="00722048">
        <w:rPr>
          <w:color w:val="0070C0"/>
          <w:spacing w:val="-2"/>
        </w:rPr>
        <w:t>Typically</w:t>
      </w:r>
      <w:proofErr w:type="gramEnd"/>
      <w:r w:rsidR="00722048">
        <w:rPr>
          <w:color w:val="0070C0"/>
          <w:spacing w:val="-2"/>
        </w:rPr>
        <w:t xml:space="preserve"> investors in the</w:t>
      </w:r>
      <w:r w:rsidR="003473C5">
        <w:rPr>
          <w:color w:val="0070C0"/>
          <w:spacing w:val="-2"/>
        </w:rPr>
        <w:t xml:space="preserve"> </w:t>
      </w:r>
      <w:proofErr w:type="gramStart"/>
      <w:r w:rsidR="003473C5">
        <w:rPr>
          <w:color w:val="0070C0"/>
          <w:spacing w:val="-2"/>
        </w:rPr>
        <w:t>Day to Day</w:t>
      </w:r>
      <w:proofErr w:type="gramEnd"/>
      <w:r w:rsidR="003473C5">
        <w:rPr>
          <w:color w:val="0070C0"/>
          <w:spacing w:val="-2"/>
        </w:rPr>
        <w:t xml:space="preserve"> Fund</w:t>
      </w:r>
      <w:r w:rsidR="00722048">
        <w:rPr>
          <w:color w:val="0070C0"/>
          <w:spacing w:val="-2"/>
        </w:rPr>
        <w:t xml:space="preserve"> </w:t>
      </w:r>
      <w:proofErr w:type="gramStart"/>
      <w:r w:rsidR="00722048">
        <w:rPr>
          <w:color w:val="0070C0"/>
          <w:spacing w:val="-2"/>
        </w:rPr>
        <w:t>utilize</w:t>
      </w:r>
      <w:proofErr w:type="gramEnd"/>
      <w:r w:rsidR="00722048">
        <w:rPr>
          <w:color w:val="0070C0"/>
          <w:spacing w:val="-2"/>
        </w:rPr>
        <w:t xml:space="preserve"> it for</w:t>
      </w:r>
      <w:r w:rsidR="00096BBD">
        <w:rPr>
          <w:color w:val="0070C0"/>
          <w:spacing w:val="-2"/>
        </w:rPr>
        <w:t xml:space="preserve"> </w:t>
      </w:r>
      <w:r w:rsidR="00B42211">
        <w:rPr>
          <w:color w:val="0070C0"/>
          <w:spacing w:val="-2"/>
        </w:rPr>
        <w:t xml:space="preserve">near-term </w:t>
      </w:r>
      <w:r w:rsidR="00096BBD">
        <w:rPr>
          <w:color w:val="0070C0"/>
          <w:spacing w:val="-2"/>
        </w:rPr>
        <w:t xml:space="preserve">operational expenses, </w:t>
      </w:r>
      <w:r w:rsidR="00A63B3D">
        <w:rPr>
          <w:color w:val="0070C0"/>
          <w:spacing w:val="-2"/>
        </w:rPr>
        <w:t>whereas</w:t>
      </w:r>
      <w:r w:rsidR="00096BBD">
        <w:rPr>
          <w:color w:val="0070C0"/>
          <w:spacing w:val="-2"/>
        </w:rPr>
        <w:t xml:space="preserve"> </w:t>
      </w:r>
      <w:r w:rsidR="000F5DA9">
        <w:rPr>
          <w:color w:val="0070C0"/>
          <w:spacing w:val="-2"/>
        </w:rPr>
        <w:t>the Short</w:t>
      </w:r>
      <w:r w:rsidR="00BE5EAC">
        <w:rPr>
          <w:color w:val="0070C0"/>
          <w:spacing w:val="-2"/>
        </w:rPr>
        <w:t>-</w:t>
      </w:r>
      <w:r w:rsidR="000F5DA9">
        <w:rPr>
          <w:color w:val="0070C0"/>
          <w:spacing w:val="-2"/>
        </w:rPr>
        <w:t>Term Bond Fund</w:t>
      </w:r>
      <w:r w:rsidR="00096BBD">
        <w:rPr>
          <w:color w:val="0070C0"/>
          <w:spacing w:val="-2"/>
        </w:rPr>
        <w:t xml:space="preserve"> is</w:t>
      </w:r>
      <w:r w:rsidR="00A63B3D">
        <w:rPr>
          <w:color w:val="0070C0"/>
          <w:spacing w:val="-2"/>
        </w:rPr>
        <w:t xml:space="preserve"> used more</w:t>
      </w:r>
      <w:r w:rsidR="00096BBD">
        <w:rPr>
          <w:color w:val="0070C0"/>
          <w:spacing w:val="-2"/>
        </w:rPr>
        <w:t xml:space="preserve"> for capital projects or reserve funds</w:t>
      </w:r>
      <w:r w:rsidR="00167667">
        <w:rPr>
          <w:color w:val="0070C0"/>
          <w:spacing w:val="-2"/>
        </w:rPr>
        <w:t>.</w:t>
      </w:r>
    </w:p>
    <w:p w14:paraId="180F1C4F" w14:textId="15028439" w:rsidR="007B115F" w:rsidRDefault="006F2552">
      <w:pPr>
        <w:pStyle w:val="ListParagraph"/>
        <w:numPr>
          <w:ilvl w:val="0"/>
          <w:numId w:val="1"/>
        </w:numPr>
        <w:tabs>
          <w:tab w:val="left" w:pos="1078"/>
          <w:tab w:val="left" w:pos="1080"/>
        </w:tabs>
        <w:spacing w:line="242" w:lineRule="auto"/>
        <w:ind w:right="166"/>
      </w:pPr>
      <w:r>
        <w:rPr>
          <w:color w:val="636369"/>
        </w:rPr>
        <w:t>Is</w:t>
      </w:r>
      <w:r>
        <w:rPr>
          <w:color w:val="636369"/>
          <w:spacing w:val="-5"/>
        </w:rPr>
        <w:t xml:space="preserve"> </w:t>
      </w:r>
      <w:r>
        <w:rPr>
          <w:color w:val="636369"/>
        </w:rPr>
        <w:t>there</w:t>
      </w:r>
      <w:r>
        <w:rPr>
          <w:color w:val="636369"/>
          <w:spacing w:val="-6"/>
        </w:rPr>
        <w:t xml:space="preserve"> </w:t>
      </w:r>
      <w:r>
        <w:rPr>
          <w:color w:val="636369"/>
        </w:rPr>
        <w:t>a</w:t>
      </w:r>
      <w:r>
        <w:rPr>
          <w:color w:val="636369"/>
          <w:spacing w:val="-2"/>
        </w:rPr>
        <w:t xml:space="preserve"> </w:t>
      </w:r>
      <w:r>
        <w:rPr>
          <w:color w:val="636369"/>
        </w:rPr>
        <w:t>need</w:t>
      </w:r>
      <w:r>
        <w:rPr>
          <w:color w:val="636369"/>
          <w:spacing w:val="-2"/>
        </w:rPr>
        <w:t xml:space="preserve"> </w:t>
      </w:r>
      <w:r>
        <w:rPr>
          <w:color w:val="636369"/>
        </w:rPr>
        <w:t>for</w:t>
      </w:r>
      <w:r>
        <w:rPr>
          <w:color w:val="636369"/>
          <w:spacing w:val="-3"/>
        </w:rPr>
        <w:t xml:space="preserve"> </w:t>
      </w:r>
      <w:r>
        <w:rPr>
          <w:color w:val="636369"/>
        </w:rPr>
        <w:t>accounts</w:t>
      </w:r>
      <w:r>
        <w:rPr>
          <w:color w:val="636369"/>
          <w:spacing w:val="-5"/>
        </w:rPr>
        <w:t xml:space="preserve"> </w:t>
      </w:r>
      <w:r>
        <w:rPr>
          <w:color w:val="636369"/>
        </w:rPr>
        <w:t>to</w:t>
      </w:r>
      <w:r>
        <w:rPr>
          <w:color w:val="636369"/>
          <w:spacing w:val="-2"/>
        </w:rPr>
        <w:t xml:space="preserve"> </w:t>
      </w:r>
      <w:r>
        <w:rPr>
          <w:color w:val="636369"/>
        </w:rPr>
        <w:t>be</w:t>
      </w:r>
      <w:r>
        <w:rPr>
          <w:color w:val="636369"/>
          <w:spacing w:val="-2"/>
        </w:rPr>
        <w:t xml:space="preserve"> </w:t>
      </w:r>
      <w:r>
        <w:rPr>
          <w:color w:val="636369"/>
        </w:rPr>
        <w:t>linked</w:t>
      </w:r>
      <w:r>
        <w:rPr>
          <w:color w:val="636369"/>
          <w:spacing w:val="-2"/>
        </w:rPr>
        <w:t xml:space="preserve"> </w:t>
      </w:r>
      <w:r>
        <w:rPr>
          <w:color w:val="636369"/>
        </w:rPr>
        <w:t>in</w:t>
      </w:r>
      <w:r>
        <w:rPr>
          <w:color w:val="636369"/>
          <w:spacing w:val="-2"/>
        </w:rPr>
        <w:t xml:space="preserve"> </w:t>
      </w:r>
      <w:r>
        <w:rPr>
          <w:color w:val="636369"/>
        </w:rPr>
        <w:t>any</w:t>
      </w:r>
      <w:r>
        <w:rPr>
          <w:color w:val="636369"/>
          <w:spacing w:val="-5"/>
        </w:rPr>
        <w:t xml:space="preserve"> </w:t>
      </w:r>
      <w:r>
        <w:rPr>
          <w:color w:val="636369"/>
        </w:rPr>
        <w:t>manner?</w:t>
      </w:r>
      <w:r>
        <w:rPr>
          <w:color w:val="636369"/>
          <w:spacing w:val="-2"/>
        </w:rPr>
        <w:t xml:space="preserve"> </w:t>
      </w:r>
      <w:r>
        <w:rPr>
          <w:color w:val="636369"/>
        </w:rPr>
        <w:t>Is</w:t>
      </w:r>
      <w:r>
        <w:rPr>
          <w:color w:val="636369"/>
          <w:spacing w:val="-5"/>
        </w:rPr>
        <w:t xml:space="preserve"> </w:t>
      </w:r>
      <w:r>
        <w:rPr>
          <w:color w:val="636369"/>
        </w:rPr>
        <w:t>there</w:t>
      </w:r>
      <w:r>
        <w:rPr>
          <w:color w:val="636369"/>
          <w:spacing w:val="-2"/>
        </w:rPr>
        <w:t xml:space="preserve"> </w:t>
      </w:r>
      <w:r>
        <w:rPr>
          <w:color w:val="636369"/>
        </w:rPr>
        <w:t>an</w:t>
      </w:r>
      <w:r>
        <w:rPr>
          <w:color w:val="636369"/>
          <w:spacing w:val="-2"/>
        </w:rPr>
        <w:t xml:space="preserve"> </w:t>
      </w:r>
      <w:r>
        <w:rPr>
          <w:color w:val="636369"/>
        </w:rPr>
        <w:t>umbrella</w:t>
      </w:r>
      <w:r>
        <w:rPr>
          <w:color w:val="636369"/>
          <w:spacing w:val="-2"/>
        </w:rPr>
        <w:t xml:space="preserve"> </w:t>
      </w:r>
      <w:r>
        <w:rPr>
          <w:color w:val="636369"/>
        </w:rPr>
        <w:t>account,</w:t>
      </w:r>
      <w:r>
        <w:rPr>
          <w:color w:val="636369"/>
          <w:spacing w:val="-6"/>
        </w:rPr>
        <w:t xml:space="preserve"> </w:t>
      </w:r>
      <w:r>
        <w:rPr>
          <w:color w:val="636369"/>
        </w:rPr>
        <w:t>with</w:t>
      </w:r>
      <w:r>
        <w:rPr>
          <w:color w:val="636369"/>
          <w:spacing w:val="-2"/>
        </w:rPr>
        <w:t xml:space="preserve"> </w:t>
      </w:r>
      <w:r>
        <w:rPr>
          <w:color w:val="636369"/>
        </w:rPr>
        <w:t>underlying sub accounts?</w:t>
      </w:r>
      <w:r w:rsidR="006C1C02">
        <w:rPr>
          <w:color w:val="636369"/>
        </w:rPr>
        <w:t xml:space="preserve"> </w:t>
      </w:r>
      <w:r w:rsidR="00E37265">
        <w:rPr>
          <w:color w:val="0070C0"/>
        </w:rPr>
        <w:t>Due to the nature of their operations, m</w:t>
      </w:r>
      <w:r w:rsidR="006C1C02">
        <w:rPr>
          <w:color w:val="0070C0"/>
        </w:rPr>
        <w:t>any of our clients have multiple accounts</w:t>
      </w:r>
      <w:r w:rsidR="00E37265">
        <w:rPr>
          <w:color w:val="0070C0"/>
        </w:rPr>
        <w:t xml:space="preserve"> within </w:t>
      </w:r>
      <w:r w:rsidR="007C4210">
        <w:rPr>
          <w:color w:val="0070C0"/>
        </w:rPr>
        <w:t xml:space="preserve">one or </w:t>
      </w:r>
      <w:r w:rsidR="00E37265">
        <w:rPr>
          <w:color w:val="0070C0"/>
        </w:rPr>
        <w:t xml:space="preserve">both funds. These accounts are often designated </w:t>
      </w:r>
      <w:r w:rsidR="0018085C">
        <w:rPr>
          <w:color w:val="0070C0"/>
        </w:rPr>
        <w:t xml:space="preserve">for </w:t>
      </w:r>
      <w:proofErr w:type="gramStart"/>
      <w:r w:rsidR="0018085C">
        <w:rPr>
          <w:color w:val="0070C0"/>
        </w:rPr>
        <w:t>particular projects</w:t>
      </w:r>
      <w:proofErr w:type="gramEnd"/>
      <w:r w:rsidR="0018085C">
        <w:rPr>
          <w:color w:val="0070C0"/>
        </w:rPr>
        <w:t xml:space="preserve"> and must be kept </w:t>
      </w:r>
      <w:r w:rsidR="00BE5EAC">
        <w:rPr>
          <w:color w:val="0070C0"/>
        </w:rPr>
        <w:t>in</w:t>
      </w:r>
      <w:r w:rsidR="0018085C">
        <w:rPr>
          <w:color w:val="0070C0"/>
        </w:rPr>
        <w:t xml:space="preserve"> separate accounts, even if all the money is invested in the same fund. </w:t>
      </w:r>
      <w:r w:rsidR="00B6576A">
        <w:rPr>
          <w:color w:val="0070C0"/>
        </w:rPr>
        <w:t xml:space="preserve">Clients must be able to </w:t>
      </w:r>
      <w:r w:rsidR="00397A83">
        <w:rPr>
          <w:color w:val="0070C0"/>
        </w:rPr>
        <w:t>access multiple accounts from one login</w:t>
      </w:r>
      <w:r w:rsidR="0075284C">
        <w:rPr>
          <w:color w:val="0070C0"/>
        </w:rPr>
        <w:t xml:space="preserve">, with role-based access limits in place. </w:t>
      </w:r>
      <w:r w:rsidR="00887733">
        <w:rPr>
          <w:color w:val="0070C0"/>
        </w:rPr>
        <w:t>There is no umbrella account/sub-account structure.</w:t>
      </w:r>
      <w:r w:rsidR="00BE5EAC">
        <w:rPr>
          <w:color w:val="0070C0"/>
        </w:rPr>
        <w:t xml:space="preserve"> </w:t>
      </w:r>
    </w:p>
    <w:p w14:paraId="180F1C50" w14:textId="20F6383C" w:rsidR="007B115F" w:rsidRDefault="006F2552">
      <w:pPr>
        <w:pStyle w:val="ListParagraph"/>
        <w:numPr>
          <w:ilvl w:val="0"/>
          <w:numId w:val="1"/>
        </w:numPr>
        <w:tabs>
          <w:tab w:val="left" w:pos="1078"/>
        </w:tabs>
        <w:spacing w:line="251" w:lineRule="exact"/>
        <w:ind w:left="1078" w:hanging="358"/>
      </w:pPr>
      <w:r>
        <w:rPr>
          <w:color w:val="636369"/>
        </w:rPr>
        <w:t>Are</w:t>
      </w:r>
      <w:r>
        <w:rPr>
          <w:color w:val="636369"/>
          <w:spacing w:val="-5"/>
        </w:rPr>
        <w:t xml:space="preserve"> </w:t>
      </w:r>
      <w:r>
        <w:rPr>
          <w:color w:val="636369"/>
        </w:rPr>
        <w:t>investors</w:t>
      </w:r>
      <w:r>
        <w:rPr>
          <w:color w:val="636369"/>
          <w:spacing w:val="-6"/>
        </w:rPr>
        <w:t xml:space="preserve"> </w:t>
      </w:r>
      <w:r>
        <w:rPr>
          <w:color w:val="636369"/>
        </w:rPr>
        <w:t>currently</w:t>
      </w:r>
      <w:r>
        <w:rPr>
          <w:color w:val="636369"/>
          <w:spacing w:val="-10"/>
        </w:rPr>
        <w:t xml:space="preserve"> </w:t>
      </w:r>
      <w:r>
        <w:rPr>
          <w:color w:val="636369"/>
        </w:rPr>
        <w:t>permitted</w:t>
      </w:r>
      <w:r>
        <w:rPr>
          <w:color w:val="636369"/>
          <w:spacing w:val="-3"/>
        </w:rPr>
        <w:t xml:space="preserve"> </w:t>
      </w:r>
      <w:r>
        <w:rPr>
          <w:color w:val="636369"/>
        </w:rPr>
        <w:t>to</w:t>
      </w:r>
      <w:r>
        <w:rPr>
          <w:color w:val="636369"/>
          <w:spacing w:val="-2"/>
        </w:rPr>
        <w:t xml:space="preserve"> </w:t>
      </w:r>
      <w:r>
        <w:rPr>
          <w:color w:val="636369"/>
        </w:rPr>
        <w:t>open</w:t>
      </w:r>
      <w:r>
        <w:rPr>
          <w:color w:val="636369"/>
          <w:spacing w:val="-3"/>
        </w:rPr>
        <w:t xml:space="preserve"> </w:t>
      </w:r>
      <w:r>
        <w:rPr>
          <w:color w:val="636369"/>
        </w:rPr>
        <w:t>accounts</w:t>
      </w:r>
      <w:r>
        <w:rPr>
          <w:color w:val="636369"/>
          <w:spacing w:val="-5"/>
        </w:rPr>
        <w:t xml:space="preserve"> </w:t>
      </w:r>
      <w:r>
        <w:rPr>
          <w:color w:val="636369"/>
          <w:spacing w:val="-2"/>
        </w:rPr>
        <w:t>online?</w:t>
      </w:r>
      <w:r w:rsidR="00101B21">
        <w:rPr>
          <w:color w:val="636369"/>
          <w:spacing w:val="-2"/>
        </w:rPr>
        <w:t xml:space="preserve"> </w:t>
      </w:r>
      <w:r w:rsidR="001E2781">
        <w:rPr>
          <w:color w:val="0070C0"/>
          <w:spacing w:val="-2"/>
        </w:rPr>
        <w:t xml:space="preserve">Investors are not currently able to open accounts online </w:t>
      </w:r>
      <w:r w:rsidR="00887935">
        <w:rPr>
          <w:color w:val="0070C0"/>
          <w:spacing w:val="-2"/>
        </w:rPr>
        <w:t>due to security requirements</w:t>
      </w:r>
      <w:r w:rsidR="007F3EC3">
        <w:rPr>
          <w:color w:val="0070C0"/>
          <w:spacing w:val="-2"/>
        </w:rPr>
        <w:t xml:space="preserve">. </w:t>
      </w:r>
      <w:r w:rsidR="00887935">
        <w:rPr>
          <w:color w:val="0070C0"/>
          <w:spacing w:val="-2"/>
        </w:rPr>
        <w:t>Solutions or options for t</w:t>
      </w:r>
      <w:r w:rsidR="007F3EC3">
        <w:rPr>
          <w:color w:val="0070C0"/>
          <w:spacing w:val="-2"/>
        </w:rPr>
        <w:t>his can be addressed in Section 2.1 of the RFP.</w:t>
      </w:r>
    </w:p>
    <w:p w14:paraId="180F1C51" w14:textId="0CEDB303" w:rsidR="007B115F" w:rsidRDefault="006F2552">
      <w:pPr>
        <w:pStyle w:val="ListParagraph"/>
        <w:numPr>
          <w:ilvl w:val="0"/>
          <w:numId w:val="1"/>
        </w:numPr>
        <w:tabs>
          <w:tab w:val="left" w:pos="1078"/>
        </w:tabs>
        <w:spacing w:line="251" w:lineRule="exact"/>
        <w:ind w:left="1078" w:hanging="358"/>
      </w:pPr>
      <w:r>
        <w:rPr>
          <w:color w:val="636369"/>
        </w:rPr>
        <w:t>Are</w:t>
      </w:r>
      <w:r>
        <w:rPr>
          <w:color w:val="636369"/>
          <w:spacing w:val="-2"/>
        </w:rPr>
        <w:t xml:space="preserve"> </w:t>
      </w:r>
      <w:r>
        <w:rPr>
          <w:color w:val="636369"/>
        </w:rPr>
        <w:t>any</w:t>
      </w:r>
      <w:r>
        <w:rPr>
          <w:color w:val="636369"/>
          <w:spacing w:val="-4"/>
        </w:rPr>
        <w:t xml:space="preserve"> </w:t>
      </w:r>
      <w:r>
        <w:rPr>
          <w:color w:val="636369"/>
        </w:rPr>
        <w:t>types</w:t>
      </w:r>
      <w:r>
        <w:rPr>
          <w:color w:val="636369"/>
          <w:spacing w:val="-3"/>
        </w:rPr>
        <w:t xml:space="preserve"> </w:t>
      </w:r>
      <w:r>
        <w:rPr>
          <w:color w:val="636369"/>
        </w:rPr>
        <w:t>of</w:t>
      </w:r>
      <w:r>
        <w:rPr>
          <w:color w:val="636369"/>
          <w:spacing w:val="-5"/>
        </w:rPr>
        <w:t xml:space="preserve"> </w:t>
      </w:r>
      <w:r>
        <w:rPr>
          <w:color w:val="636369"/>
        </w:rPr>
        <w:t>fees</w:t>
      </w:r>
      <w:r>
        <w:rPr>
          <w:color w:val="636369"/>
          <w:spacing w:val="-4"/>
        </w:rPr>
        <w:t xml:space="preserve"> </w:t>
      </w:r>
      <w:r>
        <w:rPr>
          <w:color w:val="636369"/>
        </w:rPr>
        <w:t>assessed</w:t>
      </w:r>
      <w:r>
        <w:rPr>
          <w:color w:val="636369"/>
          <w:spacing w:val="-1"/>
        </w:rPr>
        <w:t xml:space="preserve"> </w:t>
      </w:r>
      <w:r>
        <w:rPr>
          <w:color w:val="636369"/>
        </w:rPr>
        <w:t>to</w:t>
      </w:r>
      <w:r>
        <w:rPr>
          <w:color w:val="636369"/>
          <w:spacing w:val="-2"/>
        </w:rPr>
        <w:t xml:space="preserve"> </w:t>
      </w:r>
      <w:r>
        <w:rPr>
          <w:color w:val="636369"/>
        </w:rPr>
        <w:t>accounts,</w:t>
      </w:r>
      <w:r>
        <w:rPr>
          <w:color w:val="636369"/>
          <w:spacing w:val="-4"/>
        </w:rPr>
        <w:t xml:space="preserve"> </w:t>
      </w:r>
      <w:r>
        <w:rPr>
          <w:color w:val="636369"/>
        </w:rPr>
        <w:t>for</w:t>
      </w:r>
      <w:r>
        <w:rPr>
          <w:color w:val="636369"/>
          <w:spacing w:val="-2"/>
        </w:rPr>
        <w:t xml:space="preserve"> </w:t>
      </w:r>
      <w:r>
        <w:rPr>
          <w:color w:val="636369"/>
        </w:rPr>
        <w:t>example,</w:t>
      </w:r>
      <w:r>
        <w:rPr>
          <w:color w:val="636369"/>
          <w:spacing w:val="-5"/>
        </w:rPr>
        <w:t xml:space="preserve"> </w:t>
      </w:r>
      <w:r>
        <w:rPr>
          <w:color w:val="636369"/>
        </w:rPr>
        <w:t>wire</w:t>
      </w:r>
      <w:r>
        <w:rPr>
          <w:color w:val="636369"/>
          <w:spacing w:val="-1"/>
        </w:rPr>
        <w:t xml:space="preserve"> </w:t>
      </w:r>
      <w:r>
        <w:rPr>
          <w:color w:val="636369"/>
          <w:spacing w:val="-2"/>
        </w:rPr>
        <w:t>fees?</w:t>
      </w:r>
      <w:r w:rsidR="001E2781">
        <w:rPr>
          <w:color w:val="636369"/>
          <w:spacing w:val="-2"/>
        </w:rPr>
        <w:t xml:space="preserve"> </w:t>
      </w:r>
      <w:r w:rsidR="001E2781">
        <w:rPr>
          <w:color w:val="0070C0"/>
          <w:spacing w:val="-2"/>
        </w:rPr>
        <w:t xml:space="preserve">Currently no fees are assessed </w:t>
      </w:r>
      <w:proofErr w:type="gramStart"/>
      <w:r w:rsidR="001E2781">
        <w:rPr>
          <w:color w:val="0070C0"/>
          <w:spacing w:val="-2"/>
        </w:rPr>
        <w:t>to</w:t>
      </w:r>
      <w:proofErr w:type="gramEnd"/>
      <w:r w:rsidR="001E2781">
        <w:rPr>
          <w:color w:val="0070C0"/>
          <w:spacing w:val="-2"/>
        </w:rPr>
        <w:t xml:space="preserve"> the individual accounts. Clients may be charged wire fees by their </w:t>
      </w:r>
      <w:r w:rsidR="00FD4F69">
        <w:rPr>
          <w:color w:val="0070C0"/>
          <w:spacing w:val="-2"/>
        </w:rPr>
        <w:t>bank, but not by the Florida Trust.</w:t>
      </w:r>
    </w:p>
    <w:p w14:paraId="180F1C52" w14:textId="1B0E2420" w:rsidR="007B115F" w:rsidRPr="00912E0F" w:rsidRDefault="006F2552">
      <w:pPr>
        <w:pStyle w:val="ListParagraph"/>
        <w:numPr>
          <w:ilvl w:val="0"/>
          <w:numId w:val="1"/>
        </w:numPr>
        <w:tabs>
          <w:tab w:val="left" w:pos="1078"/>
        </w:tabs>
        <w:spacing w:line="251" w:lineRule="exact"/>
        <w:ind w:left="1078" w:hanging="358"/>
      </w:pPr>
      <w:r w:rsidRPr="00912E0F">
        <w:rPr>
          <w:color w:val="636369"/>
        </w:rPr>
        <w:t>Are</w:t>
      </w:r>
      <w:r w:rsidRPr="00912E0F">
        <w:rPr>
          <w:color w:val="636369"/>
          <w:spacing w:val="-3"/>
        </w:rPr>
        <w:t xml:space="preserve"> </w:t>
      </w:r>
      <w:r w:rsidRPr="00912E0F">
        <w:rPr>
          <w:color w:val="636369"/>
        </w:rPr>
        <w:t>securities</w:t>
      </w:r>
      <w:r w:rsidRPr="00912E0F">
        <w:rPr>
          <w:color w:val="636369"/>
          <w:spacing w:val="-4"/>
        </w:rPr>
        <w:t xml:space="preserve"> </w:t>
      </w:r>
      <w:r w:rsidRPr="00912E0F">
        <w:rPr>
          <w:color w:val="636369"/>
        </w:rPr>
        <w:t>valued</w:t>
      </w:r>
      <w:r w:rsidRPr="00912E0F">
        <w:rPr>
          <w:color w:val="636369"/>
          <w:spacing w:val="-3"/>
        </w:rPr>
        <w:t xml:space="preserve"> </w:t>
      </w:r>
      <w:r w:rsidRPr="00912E0F">
        <w:rPr>
          <w:color w:val="636369"/>
        </w:rPr>
        <w:t>at</w:t>
      </w:r>
      <w:r w:rsidRPr="00912E0F">
        <w:rPr>
          <w:color w:val="636369"/>
          <w:spacing w:val="-5"/>
        </w:rPr>
        <w:t xml:space="preserve"> </w:t>
      </w:r>
      <w:r w:rsidRPr="00912E0F">
        <w:rPr>
          <w:color w:val="636369"/>
        </w:rPr>
        <w:t>amortized</w:t>
      </w:r>
      <w:r w:rsidRPr="00912E0F">
        <w:rPr>
          <w:color w:val="636369"/>
          <w:spacing w:val="-2"/>
        </w:rPr>
        <w:t xml:space="preserve"> </w:t>
      </w:r>
      <w:r w:rsidRPr="00912E0F">
        <w:rPr>
          <w:color w:val="636369"/>
          <w:spacing w:val="-4"/>
        </w:rPr>
        <w:t>cost?</w:t>
      </w:r>
      <w:r w:rsidR="00912E0F">
        <w:rPr>
          <w:color w:val="636369"/>
          <w:spacing w:val="-4"/>
        </w:rPr>
        <w:t xml:space="preserve">  </w:t>
      </w:r>
      <w:r w:rsidR="007F366B" w:rsidRPr="00A072B7">
        <w:rPr>
          <w:color w:val="0070C0"/>
          <w:spacing w:val="-4"/>
        </w:rPr>
        <w:t>For the financial statements, t</w:t>
      </w:r>
      <w:r w:rsidR="00940038" w:rsidRPr="00A072B7">
        <w:rPr>
          <w:color w:val="0070C0"/>
          <w:spacing w:val="-4"/>
        </w:rPr>
        <w:t xml:space="preserve">he </w:t>
      </w:r>
      <w:proofErr w:type="gramStart"/>
      <w:r w:rsidR="00940038">
        <w:rPr>
          <w:color w:val="0070C0"/>
          <w:spacing w:val="-4"/>
        </w:rPr>
        <w:t>Day to Day</w:t>
      </w:r>
      <w:proofErr w:type="gramEnd"/>
      <w:r w:rsidR="00940038">
        <w:rPr>
          <w:color w:val="0070C0"/>
          <w:spacing w:val="-4"/>
        </w:rPr>
        <w:t xml:space="preserve"> Fund</w:t>
      </w:r>
      <w:r w:rsidR="00A072B7">
        <w:rPr>
          <w:color w:val="0070C0"/>
          <w:spacing w:val="-4"/>
        </w:rPr>
        <w:t xml:space="preserve"> </w:t>
      </w:r>
      <w:r w:rsidR="00940038">
        <w:rPr>
          <w:color w:val="0070C0"/>
          <w:spacing w:val="-4"/>
        </w:rPr>
        <w:t>securities are valued at amortized cost</w:t>
      </w:r>
      <w:r w:rsidR="005B5ACF">
        <w:rPr>
          <w:color w:val="0070C0"/>
          <w:spacing w:val="-4"/>
        </w:rPr>
        <w:t xml:space="preserve"> and in</w:t>
      </w:r>
      <w:r w:rsidR="00940038">
        <w:rPr>
          <w:color w:val="0070C0"/>
          <w:spacing w:val="-4"/>
        </w:rPr>
        <w:t xml:space="preserve"> the Short-Term Bond Fund, securities are valued at market value.</w:t>
      </w:r>
      <w:r w:rsidR="007F366B">
        <w:rPr>
          <w:color w:val="0070C0"/>
          <w:spacing w:val="-4"/>
        </w:rPr>
        <w:t xml:space="preserve"> For fund reporting, </w:t>
      </w:r>
      <w:r w:rsidR="00A072B7">
        <w:rPr>
          <w:color w:val="0070C0"/>
          <w:spacing w:val="-4"/>
        </w:rPr>
        <w:t>both funds are reported at market value.</w:t>
      </w:r>
    </w:p>
    <w:p w14:paraId="180F1C53" w14:textId="35E8A9CE" w:rsidR="007B115F" w:rsidRDefault="006F2552">
      <w:pPr>
        <w:pStyle w:val="ListParagraph"/>
        <w:numPr>
          <w:ilvl w:val="0"/>
          <w:numId w:val="1"/>
        </w:numPr>
        <w:tabs>
          <w:tab w:val="left" w:pos="1078"/>
        </w:tabs>
        <w:spacing w:line="251" w:lineRule="exact"/>
        <w:ind w:left="1078" w:hanging="358"/>
      </w:pPr>
      <w:r>
        <w:rPr>
          <w:color w:val="636369"/>
        </w:rPr>
        <w:t>How</w:t>
      </w:r>
      <w:r>
        <w:rPr>
          <w:color w:val="636369"/>
          <w:spacing w:val="-5"/>
        </w:rPr>
        <w:t xml:space="preserve"> </w:t>
      </w:r>
      <w:r>
        <w:rPr>
          <w:color w:val="636369"/>
        </w:rPr>
        <w:t>often</w:t>
      </w:r>
      <w:r>
        <w:rPr>
          <w:color w:val="636369"/>
          <w:spacing w:val="-2"/>
        </w:rPr>
        <w:t xml:space="preserve"> </w:t>
      </w:r>
      <w:r>
        <w:rPr>
          <w:color w:val="636369"/>
        </w:rPr>
        <w:t>is</w:t>
      </w:r>
      <w:r>
        <w:rPr>
          <w:color w:val="636369"/>
          <w:spacing w:val="-6"/>
        </w:rPr>
        <w:t xml:space="preserve"> </w:t>
      </w:r>
      <w:r>
        <w:rPr>
          <w:color w:val="636369"/>
        </w:rPr>
        <w:t>income</w:t>
      </w:r>
      <w:r>
        <w:rPr>
          <w:color w:val="636369"/>
          <w:spacing w:val="-2"/>
        </w:rPr>
        <w:t xml:space="preserve"> </w:t>
      </w:r>
      <w:r>
        <w:rPr>
          <w:color w:val="636369"/>
        </w:rPr>
        <w:t>distributed</w:t>
      </w:r>
      <w:r>
        <w:rPr>
          <w:color w:val="636369"/>
          <w:spacing w:val="-3"/>
        </w:rPr>
        <w:t xml:space="preserve"> </w:t>
      </w:r>
      <w:r>
        <w:rPr>
          <w:color w:val="636369"/>
        </w:rPr>
        <w:t>to</w:t>
      </w:r>
      <w:r>
        <w:rPr>
          <w:color w:val="636369"/>
          <w:spacing w:val="-2"/>
        </w:rPr>
        <w:t xml:space="preserve"> investors?</w:t>
      </w:r>
      <w:r w:rsidR="00FD4F69">
        <w:rPr>
          <w:color w:val="636369"/>
          <w:spacing w:val="-2"/>
        </w:rPr>
        <w:t xml:space="preserve"> </w:t>
      </w:r>
      <w:r w:rsidR="00FD4F69">
        <w:rPr>
          <w:color w:val="0070C0"/>
          <w:spacing w:val="-2"/>
        </w:rPr>
        <w:t xml:space="preserve">In the </w:t>
      </w:r>
      <w:proofErr w:type="gramStart"/>
      <w:r w:rsidR="00FD4F69">
        <w:rPr>
          <w:color w:val="0070C0"/>
          <w:spacing w:val="-2"/>
        </w:rPr>
        <w:t>Day to Day</w:t>
      </w:r>
      <w:proofErr w:type="gramEnd"/>
      <w:r w:rsidR="00FD4F69">
        <w:rPr>
          <w:color w:val="0070C0"/>
          <w:spacing w:val="-2"/>
        </w:rPr>
        <w:t xml:space="preserve"> Fund, dividends are distributed monthly. In the Short-Term Bond Fund, the </w:t>
      </w:r>
      <w:r w:rsidR="00B05AEE">
        <w:rPr>
          <w:color w:val="0070C0"/>
          <w:spacing w:val="-2"/>
        </w:rPr>
        <w:t xml:space="preserve">return is provided in the form of share value, with </w:t>
      </w:r>
      <w:r w:rsidR="00FD4F69">
        <w:rPr>
          <w:color w:val="0070C0"/>
          <w:spacing w:val="-2"/>
        </w:rPr>
        <w:t>Net Asset Value updated daily.</w:t>
      </w:r>
    </w:p>
    <w:p w14:paraId="180F1C54" w14:textId="3F68685D" w:rsidR="007B115F" w:rsidRDefault="006F2552">
      <w:pPr>
        <w:pStyle w:val="ListParagraph"/>
        <w:numPr>
          <w:ilvl w:val="0"/>
          <w:numId w:val="1"/>
        </w:numPr>
        <w:tabs>
          <w:tab w:val="left" w:pos="1078"/>
        </w:tabs>
        <w:spacing w:before="2"/>
        <w:ind w:left="1078" w:hanging="358"/>
      </w:pPr>
      <w:r>
        <w:rPr>
          <w:color w:val="636369"/>
        </w:rPr>
        <w:t>If</w:t>
      </w:r>
      <w:r>
        <w:rPr>
          <w:color w:val="636369"/>
          <w:spacing w:val="-5"/>
        </w:rPr>
        <w:t xml:space="preserve"> </w:t>
      </w:r>
      <w:r>
        <w:rPr>
          <w:color w:val="636369"/>
        </w:rPr>
        <w:t>a</w:t>
      </w:r>
      <w:r>
        <w:rPr>
          <w:color w:val="636369"/>
          <w:spacing w:val="-2"/>
        </w:rPr>
        <w:t xml:space="preserve"> </w:t>
      </w:r>
      <w:r>
        <w:rPr>
          <w:color w:val="636369"/>
        </w:rPr>
        <w:t>security</w:t>
      </w:r>
      <w:r>
        <w:rPr>
          <w:color w:val="636369"/>
          <w:spacing w:val="-4"/>
        </w:rPr>
        <w:t xml:space="preserve"> </w:t>
      </w:r>
      <w:r>
        <w:rPr>
          <w:color w:val="636369"/>
        </w:rPr>
        <w:t>is</w:t>
      </w:r>
      <w:r>
        <w:rPr>
          <w:color w:val="636369"/>
          <w:spacing w:val="-4"/>
        </w:rPr>
        <w:t xml:space="preserve"> </w:t>
      </w:r>
      <w:r>
        <w:rPr>
          <w:color w:val="636369"/>
        </w:rPr>
        <w:t>sold</w:t>
      </w:r>
      <w:r>
        <w:rPr>
          <w:color w:val="636369"/>
          <w:spacing w:val="-1"/>
        </w:rPr>
        <w:t xml:space="preserve"> </w:t>
      </w:r>
      <w:r>
        <w:rPr>
          <w:color w:val="636369"/>
        </w:rPr>
        <w:t>or</w:t>
      </w:r>
      <w:r>
        <w:rPr>
          <w:color w:val="636369"/>
          <w:spacing w:val="-2"/>
        </w:rPr>
        <w:t xml:space="preserve"> </w:t>
      </w:r>
      <w:r>
        <w:rPr>
          <w:color w:val="636369"/>
        </w:rPr>
        <w:t>any</w:t>
      </w:r>
      <w:r>
        <w:rPr>
          <w:color w:val="636369"/>
          <w:spacing w:val="-4"/>
        </w:rPr>
        <w:t xml:space="preserve"> </w:t>
      </w:r>
      <w:r>
        <w:rPr>
          <w:color w:val="636369"/>
        </w:rPr>
        <w:t>other</w:t>
      </w:r>
      <w:r>
        <w:rPr>
          <w:color w:val="636369"/>
          <w:spacing w:val="-2"/>
        </w:rPr>
        <w:t xml:space="preserve"> </w:t>
      </w:r>
      <w:r>
        <w:rPr>
          <w:color w:val="636369"/>
        </w:rPr>
        <w:t>principal</w:t>
      </w:r>
      <w:r>
        <w:rPr>
          <w:color w:val="636369"/>
          <w:spacing w:val="-3"/>
        </w:rPr>
        <w:t xml:space="preserve"> </w:t>
      </w:r>
      <w:r>
        <w:rPr>
          <w:color w:val="636369"/>
        </w:rPr>
        <w:t>gain/loss</w:t>
      </w:r>
      <w:r>
        <w:rPr>
          <w:color w:val="636369"/>
          <w:spacing w:val="-4"/>
        </w:rPr>
        <w:t xml:space="preserve"> </w:t>
      </w:r>
      <w:r>
        <w:rPr>
          <w:color w:val="636369"/>
        </w:rPr>
        <w:t>is</w:t>
      </w:r>
      <w:r>
        <w:rPr>
          <w:color w:val="636369"/>
          <w:spacing w:val="-9"/>
        </w:rPr>
        <w:t xml:space="preserve"> </w:t>
      </w:r>
      <w:r>
        <w:rPr>
          <w:color w:val="636369"/>
        </w:rPr>
        <w:t>generated</w:t>
      </w:r>
      <w:r>
        <w:rPr>
          <w:color w:val="636369"/>
          <w:spacing w:val="-1"/>
        </w:rPr>
        <w:t xml:space="preserve"> </w:t>
      </w:r>
      <w:r>
        <w:rPr>
          <w:color w:val="636369"/>
        </w:rPr>
        <w:t>how</w:t>
      </w:r>
      <w:r>
        <w:rPr>
          <w:color w:val="636369"/>
          <w:spacing w:val="-3"/>
        </w:rPr>
        <w:t xml:space="preserve"> </w:t>
      </w:r>
      <w:r>
        <w:rPr>
          <w:color w:val="636369"/>
        </w:rPr>
        <w:t>is</w:t>
      </w:r>
      <w:r>
        <w:rPr>
          <w:color w:val="636369"/>
          <w:spacing w:val="-4"/>
        </w:rPr>
        <w:t xml:space="preserve"> </w:t>
      </w:r>
      <w:r>
        <w:rPr>
          <w:color w:val="636369"/>
        </w:rPr>
        <w:t>that</w:t>
      </w:r>
      <w:r>
        <w:rPr>
          <w:color w:val="636369"/>
          <w:spacing w:val="-5"/>
        </w:rPr>
        <w:t xml:space="preserve"> </w:t>
      </w:r>
      <w:r>
        <w:rPr>
          <w:color w:val="636369"/>
        </w:rPr>
        <w:t>processed</w:t>
      </w:r>
      <w:r>
        <w:rPr>
          <w:color w:val="636369"/>
          <w:spacing w:val="-1"/>
        </w:rPr>
        <w:t xml:space="preserve"> </w:t>
      </w:r>
      <w:r>
        <w:rPr>
          <w:color w:val="636369"/>
        </w:rPr>
        <w:t>in</w:t>
      </w:r>
      <w:r>
        <w:rPr>
          <w:color w:val="636369"/>
          <w:spacing w:val="-1"/>
        </w:rPr>
        <w:t xml:space="preserve"> </w:t>
      </w:r>
      <w:r>
        <w:rPr>
          <w:color w:val="636369"/>
        </w:rPr>
        <w:t>the</w:t>
      </w:r>
      <w:r>
        <w:rPr>
          <w:color w:val="636369"/>
          <w:spacing w:val="-1"/>
        </w:rPr>
        <w:t xml:space="preserve"> </w:t>
      </w:r>
      <w:r>
        <w:rPr>
          <w:color w:val="636369"/>
          <w:spacing w:val="-2"/>
        </w:rPr>
        <w:t>fund?</w:t>
      </w:r>
      <w:r w:rsidR="00FD4F69">
        <w:rPr>
          <w:color w:val="636369"/>
          <w:spacing w:val="-2"/>
        </w:rPr>
        <w:t xml:space="preserve"> </w:t>
      </w:r>
      <w:r w:rsidR="00FD4F69">
        <w:rPr>
          <w:color w:val="0070C0"/>
          <w:spacing w:val="-2"/>
        </w:rPr>
        <w:t xml:space="preserve">Any change in value of the fund is reflected </w:t>
      </w:r>
      <w:r w:rsidR="00AA6663">
        <w:rPr>
          <w:color w:val="0070C0"/>
          <w:spacing w:val="-2"/>
        </w:rPr>
        <w:t xml:space="preserve">in the fund’s overall value and </w:t>
      </w:r>
      <w:r w:rsidR="009A3A3B">
        <w:rPr>
          <w:color w:val="0070C0"/>
          <w:spacing w:val="-2"/>
        </w:rPr>
        <w:t xml:space="preserve">distributed based on </w:t>
      </w:r>
      <w:r w:rsidR="008942EF">
        <w:rPr>
          <w:color w:val="0070C0"/>
          <w:spacing w:val="-2"/>
        </w:rPr>
        <w:t>shares owned.</w:t>
      </w:r>
    </w:p>
    <w:p w14:paraId="180F1C55" w14:textId="287DBDC1" w:rsidR="007B115F" w:rsidRDefault="006F2552">
      <w:pPr>
        <w:pStyle w:val="ListParagraph"/>
        <w:numPr>
          <w:ilvl w:val="0"/>
          <w:numId w:val="1"/>
        </w:numPr>
        <w:tabs>
          <w:tab w:val="left" w:pos="1077"/>
        </w:tabs>
        <w:spacing w:before="3"/>
        <w:ind w:left="1077" w:hanging="357"/>
      </w:pPr>
      <w:r>
        <w:rPr>
          <w:color w:val="636369"/>
        </w:rPr>
        <w:t>What</w:t>
      </w:r>
      <w:r>
        <w:rPr>
          <w:color w:val="636369"/>
          <w:spacing w:val="-8"/>
        </w:rPr>
        <w:t xml:space="preserve"> </w:t>
      </w:r>
      <w:r>
        <w:rPr>
          <w:color w:val="636369"/>
        </w:rPr>
        <w:t>reporting,</w:t>
      </w:r>
      <w:r>
        <w:rPr>
          <w:color w:val="636369"/>
          <w:spacing w:val="-6"/>
        </w:rPr>
        <w:t xml:space="preserve"> </w:t>
      </w:r>
      <w:r>
        <w:rPr>
          <w:color w:val="636369"/>
        </w:rPr>
        <w:t>regulatory</w:t>
      </w:r>
      <w:r>
        <w:rPr>
          <w:color w:val="636369"/>
          <w:spacing w:val="-9"/>
        </w:rPr>
        <w:t xml:space="preserve"> </w:t>
      </w:r>
      <w:r>
        <w:rPr>
          <w:color w:val="636369"/>
        </w:rPr>
        <w:t>or</w:t>
      </w:r>
      <w:r>
        <w:rPr>
          <w:color w:val="636369"/>
          <w:spacing w:val="-3"/>
        </w:rPr>
        <w:t xml:space="preserve"> </w:t>
      </w:r>
      <w:r>
        <w:rPr>
          <w:color w:val="636369"/>
        </w:rPr>
        <w:t>otherwise,</w:t>
      </w:r>
      <w:r>
        <w:rPr>
          <w:color w:val="636369"/>
          <w:spacing w:val="-5"/>
        </w:rPr>
        <w:t xml:space="preserve"> </w:t>
      </w:r>
      <w:r>
        <w:rPr>
          <w:color w:val="636369"/>
        </w:rPr>
        <w:t>will</w:t>
      </w:r>
      <w:r>
        <w:rPr>
          <w:color w:val="636369"/>
          <w:spacing w:val="-4"/>
        </w:rPr>
        <w:t xml:space="preserve"> </w:t>
      </w:r>
      <w:r>
        <w:rPr>
          <w:color w:val="636369"/>
        </w:rPr>
        <w:t>be</w:t>
      </w:r>
      <w:r>
        <w:rPr>
          <w:color w:val="636369"/>
          <w:spacing w:val="-2"/>
        </w:rPr>
        <w:t xml:space="preserve"> </w:t>
      </w:r>
      <w:r>
        <w:rPr>
          <w:color w:val="636369"/>
        </w:rPr>
        <w:t>required</w:t>
      </w:r>
      <w:r>
        <w:rPr>
          <w:color w:val="636369"/>
          <w:spacing w:val="-1"/>
        </w:rPr>
        <w:t xml:space="preserve"> </w:t>
      </w:r>
      <w:r>
        <w:rPr>
          <w:color w:val="636369"/>
        </w:rPr>
        <w:t>from</w:t>
      </w:r>
      <w:r>
        <w:rPr>
          <w:color w:val="636369"/>
          <w:spacing w:val="-3"/>
        </w:rPr>
        <w:t xml:space="preserve"> </w:t>
      </w:r>
      <w:r>
        <w:rPr>
          <w:color w:val="636369"/>
        </w:rPr>
        <w:t>the</w:t>
      </w:r>
      <w:r>
        <w:rPr>
          <w:color w:val="636369"/>
          <w:spacing w:val="-2"/>
        </w:rPr>
        <w:t xml:space="preserve"> </w:t>
      </w:r>
      <w:r>
        <w:rPr>
          <w:color w:val="636369"/>
        </w:rPr>
        <w:t>service</w:t>
      </w:r>
      <w:r>
        <w:rPr>
          <w:color w:val="636369"/>
          <w:spacing w:val="-6"/>
        </w:rPr>
        <w:t xml:space="preserve"> </w:t>
      </w:r>
      <w:r>
        <w:rPr>
          <w:color w:val="636369"/>
          <w:spacing w:val="-2"/>
        </w:rPr>
        <w:t>provider?</w:t>
      </w:r>
      <w:r w:rsidR="008942EF">
        <w:rPr>
          <w:color w:val="636369"/>
          <w:spacing w:val="-2"/>
        </w:rPr>
        <w:t xml:space="preserve"> </w:t>
      </w:r>
      <w:r w:rsidR="00F56E21">
        <w:rPr>
          <w:color w:val="0070C0"/>
          <w:spacing w:val="-2"/>
        </w:rPr>
        <w:t>Required r</w:t>
      </w:r>
      <w:r w:rsidR="008942EF">
        <w:rPr>
          <w:color w:val="0070C0"/>
          <w:spacing w:val="-2"/>
        </w:rPr>
        <w:t>eporting is as described in the RFP</w:t>
      </w:r>
      <w:r w:rsidR="00EA1EE0">
        <w:rPr>
          <w:color w:val="0070C0"/>
          <w:spacing w:val="-2"/>
        </w:rPr>
        <w:t xml:space="preserve"> in Section 12</w:t>
      </w:r>
      <w:r w:rsidR="008942EF">
        <w:rPr>
          <w:color w:val="0070C0"/>
          <w:spacing w:val="-2"/>
        </w:rPr>
        <w:t xml:space="preserve">. </w:t>
      </w:r>
      <w:r w:rsidR="00F56E21">
        <w:rPr>
          <w:color w:val="0070C0"/>
          <w:spacing w:val="-2"/>
        </w:rPr>
        <w:t>Reporting</w:t>
      </w:r>
      <w:r w:rsidR="008942EF">
        <w:rPr>
          <w:color w:val="0070C0"/>
          <w:spacing w:val="-2"/>
        </w:rPr>
        <w:t xml:space="preserve"> for </w:t>
      </w:r>
      <w:r w:rsidR="00F56E21">
        <w:rPr>
          <w:color w:val="0070C0"/>
          <w:spacing w:val="-2"/>
        </w:rPr>
        <w:t>compliance with the Ratings Agency</w:t>
      </w:r>
      <w:r w:rsidR="00327CF8">
        <w:rPr>
          <w:color w:val="0070C0"/>
          <w:spacing w:val="-2"/>
        </w:rPr>
        <w:t xml:space="preserve"> </w:t>
      </w:r>
      <w:r w:rsidR="008942EF">
        <w:rPr>
          <w:color w:val="0070C0"/>
          <w:spacing w:val="-2"/>
        </w:rPr>
        <w:t xml:space="preserve">and Board of Trustees </w:t>
      </w:r>
      <w:r w:rsidR="00327CF8">
        <w:rPr>
          <w:color w:val="0070C0"/>
          <w:spacing w:val="-2"/>
        </w:rPr>
        <w:t xml:space="preserve">requirements </w:t>
      </w:r>
      <w:r w:rsidR="008942EF">
        <w:rPr>
          <w:color w:val="0070C0"/>
          <w:spacing w:val="-2"/>
        </w:rPr>
        <w:t xml:space="preserve">are performed by the </w:t>
      </w:r>
      <w:r w:rsidR="007102F3">
        <w:rPr>
          <w:color w:val="0070C0"/>
          <w:spacing w:val="-2"/>
        </w:rPr>
        <w:t>Administrator</w:t>
      </w:r>
      <w:r w:rsidR="00FD74BD">
        <w:rPr>
          <w:color w:val="0070C0"/>
          <w:spacing w:val="-2"/>
        </w:rPr>
        <w:t xml:space="preserve"> utilizing the information from </w:t>
      </w:r>
      <w:r w:rsidR="002C656F">
        <w:rPr>
          <w:color w:val="0070C0"/>
          <w:spacing w:val="-2"/>
        </w:rPr>
        <w:t>the Custodian bank.</w:t>
      </w:r>
    </w:p>
    <w:p w14:paraId="180F1C56" w14:textId="77777777" w:rsidR="007B115F" w:rsidRDefault="007B115F">
      <w:pPr>
        <w:pStyle w:val="BodyText"/>
        <w:spacing w:before="89"/>
        <w:ind w:left="0" w:firstLine="0"/>
      </w:pPr>
    </w:p>
    <w:p w14:paraId="180F1C57" w14:textId="77777777" w:rsidR="007B115F" w:rsidRDefault="006F2552">
      <w:pPr>
        <w:ind w:left="360"/>
        <w:rPr>
          <w:b/>
        </w:rPr>
      </w:pPr>
      <w:r>
        <w:rPr>
          <w:b/>
          <w:color w:val="636369"/>
        </w:rPr>
        <w:t>Data</w:t>
      </w:r>
      <w:r>
        <w:rPr>
          <w:b/>
          <w:color w:val="636369"/>
          <w:spacing w:val="-1"/>
        </w:rPr>
        <w:t xml:space="preserve"> </w:t>
      </w:r>
      <w:r>
        <w:rPr>
          <w:b/>
          <w:color w:val="636369"/>
          <w:spacing w:val="-2"/>
        </w:rPr>
        <w:t>Request:</w:t>
      </w:r>
    </w:p>
    <w:p w14:paraId="38896637" w14:textId="092E3089" w:rsidR="00CD5F1B" w:rsidRPr="00CD5F1B" w:rsidRDefault="006F2552" w:rsidP="00CD5F1B">
      <w:pPr>
        <w:pStyle w:val="ListParagraph"/>
        <w:numPr>
          <w:ilvl w:val="0"/>
          <w:numId w:val="1"/>
        </w:numPr>
        <w:tabs>
          <w:tab w:val="left" w:pos="1077"/>
        </w:tabs>
        <w:spacing w:before="62"/>
        <w:ind w:left="1077" w:hanging="357"/>
        <w:rPr>
          <w:color w:val="0070C0"/>
        </w:rPr>
      </w:pPr>
      <w:r w:rsidRPr="00912E0F">
        <w:rPr>
          <w:color w:val="636369"/>
        </w:rPr>
        <w:t>Please</w:t>
      </w:r>
      <w:r w:rsidRPr="00912E0F">
        <w:rPr>
          <w:color w:val="636369"/>
          <w:spacing w:val="-8"/>
        </w:rPr>
        <w:t xml:space="preserve"> </w:t>
      </w:r>
      <w:r w:rsidRPr="00912E0F">
        <w:rPr>
          <w:color w:val="636369"/>
        </w:rPr>
        <w:t>provide account</w:t>
      </w:r>
      <w:r w:rsidRPr="00912E0F">
        <w:rPr>
          <w:color w:val="636369"/>
          <w:spacing w:val="-4"/>
        </w:rPr>
        <w:t xml:space="preserve"> </w:t>
      </w:r>
      <w:r w:rsidRPr="00912E0F">
        <w:rPr>
          <w:color w:val="636369"/>
        </w:rPr>
        <w:t>volume by</w:t>
      </w:r>
      <w:r w:rsidRPr="00912E0F">
        <w:rPr>
          <w:color w:val="636369"/>
          <w:spacing w:val="-3"/>
        </w:rPr>
        <w:t xml:space="preserve"> </w:t>
      </w:r>
      <w:r w:rsidRPr="00912E0F">
        <w:rPr>
          <w:color w:val="636369"/>
        </w:rPr>
        <w:t>type</w:t>
      </w:r>
      <w:r w:rsidRPr="00912E0F">
        <w:rPr>
          <w:color w:val="636369"/>
          <w:spacing w:val="-5"/>
        </w:rPr>
        <w:t xml:space="preserve"> </w:t>
      </w:r>
      <w:r w:rsidRPr="00912E0F">
        <w:rPr>
          <w:color w:val="636369"/>
        </w:rPr>
        <w:t>(global</w:t>
      </w:r>
      <w:r w:rsidRPr="00912E0F">
        <w:rPr>
          <w:color w:val="636369"/>
          <w:spacing w:val="-2"/>
        </w:rPr>
        <w:t xml:space="preserve"> </w:t>
      </w:r>
      <w:r w:rsidRPr="00912E0F">
        <w:rPr>
          <w:color w:val="636369"/>
        </w:rPr>
        <w:t>vs.</w:t>
      </w:r>
      <w:r w:rsidRPr="00912E0F">
        <w:rPr>
          <w:color w:val="636369"/>
          <w:spacing w:val="-4"/>
        </w:rPr>
        <w:t xml:space="preserve"> </w:t>
      </w:r>
      <w:r w:rsidRPr="00912E0F">
        <w:rPr>
          <w:color w:val="636369"/>
        </w:rPr>
        <w:t>domestic separately</w:t>
      </w:r>
      <w:r w:rsidRPr="00912E0F">
        <w:rPr>
          <w:color w:val="636369"/>
          <w:spacing w:val="-3"/>
        </w:rPr>
        <w:t xml:space="preserve"> </w:t>
      </w:r>
      <w:r w:rsidRPr="00912E0F">
        <w:rPr>
          <w:color w:val="636369"/>
          <w:spacing w:val="-2"/>
        </w:rPr>
        <w:t>managed).</w:t>
      </w:r>
      <w:r w:rsidR="00912E0F">
        <w:rPr>
          <w:color w:val="636369"/>
          <w:spacing w:val="-2"/>
        </w:rPr>
        <w:t xml:space="preserve">  </w:t>
      </w:r>
      <w:r w:rsidR="00912E0F" w:rsidRPr="00940038">
        <w:rPr>
          <w:color w:val="0070C0"/>
          <w:spacing w:val="-2"/>
        </w:rPr>
        <w:lastRenderedPageBreak/>
        <w:t>All volume is domestic</w:t>
      </w:r>
      <w:r w:rsidR="00940038" w:rsidRPr="00940038">
        <w:rPr>
          <w:color w:val="0070C0"/>
          <w:spacing w:val="-2"/>
        </w:rPr>
        <w:t>ally managed</w:t>
      </w:r>
      <w:r w:rsidR="00912E0F" w:rsidRPr="00940038">
        <w:rPr>
          <w:color w:val="0070C0"/>
          <w:spacing w:val="-2"/>
        </w:rPr>
        <w:t>.</w:t>
      </w:r>
      <w:r w:rsidR="00C53B6B">
        <w:rPr>
          <w:color w:val="0070C0"/>
          <w:spacing w:val="-2"/>
        </w:rPr>
        <w:t xml:space="preserve"> </w:t>
      </w:r>
      <w:r w:rsidR="004E1A0C">
        <w:rPr>
          <w:color w:val="0070C0"/>
          <w:spacing w:val="-2"/>
        </w:rPr>
        <w:t>Portfolio details are included in the excel file provided with the RFP. Additional historical reports are available on our website</w:t>
      </w:r>
      <w:r w:rsidR="00CD5F1B">
        <w:rPr>
          <w:color w:val="0070C0"/>
          <w:spacing w:val="-2"/>
        </w:rPr>
        <w:t xml:space="preserve">, </w:t>
      </w:r>
      <w:hyperlink r:id="rId7" w:history="1">
        <w:r w:rsidR="008E55DC" w:rsidRPr="008E55DC">
          <w:rPr>
            <w:rStyle w:val="Hyperlink"/>
          </w:rPr>
          <w:t>Reports – Florida Local Government Investment Trust</w:t>
        </w:r>
      </w:hyperlink>
      <w:r w:rsidR="008E55DC">
        <w:t xml:space="preserve"> </w:t>
      </w:r>
    </w:p>
    <w:p w14:paraId="180F1C59" w14:textId="584590A7" w:rsidR="007B115F" w:rsidRPr="00854532" w:rsidRDefault="006F2552">
      <w:pPr>
        <w:pStyle w:val="ListParagraph"/>
        <w:numPr>
          <w:ilvl w:val="0"/>
          <w:numId w:val="1"/>
        </w:numPr>
        <w:tabs>
          <w:tab w:val="left" w:pos="1077"/>
        </w:tabs>
        <w:spacing w:before="62"/>
        <w:ind w:left="1077" w:hanging="357"/>
      </w:pPr>
      <w:r w:rsidRPr="003E5CA2">
        <w:rPr>
          <w:color w:val="636369"/>
        </w:rPr>
        <w:t>Please</w:t>
      </w:r>
      <w:r w:rsidRPr="003E5CA2">
        <w:rPr>
          <w:color w:val="636369"/>
          <w:spacing w:val="-8"/>
        </w:rPr>
        <w:t xml:space="preserve"> </w:t>
      </w:r>
      <w:r w:rsidRPr="003E5CA2">
        <w:rPr>
          <w:color w:val="636369"/>
        </w:rPr>
        <w:t>provide</w:t>
      </w:r>
      <w:r w:rsidRPr="003E5CA2">
        <w:rPr>
          <w:color w:val="636369"/>
          <w:spacing w:val="-1"/>
        </w:rPr>
        <w:t xml:space="preserve"> </w:t>
      </w:r>
      <w:r w:rsidRPr="003E5CA2">
        <w:rPr>
          <w:color w:val="636369"/>
        </w:rPr>
        <w:t>number</w:t>
      </w:r>
      <w:r w:rsidRPr="003E5CA2">
        <w:rPr>
          <w:color w:val="636369"/>
          <w:spacing w:val="-2"/>
        </w:rPr>
        <w:t xml:space="preserve"> </w:t>
      </w:r>
      <w:r w:rsidRPr="003E5CA2">
        <w:rPr>
          <w:color w:val="636369"/>
        </w:rPr>
        <w:t>of</w:t>
      </w:r>
      <w:r w:rsidRPr="003E5CA2">
        <w:rPr>
          <w:color w:val="636369"/>
          <w:spacing w:val="-5"/>
        </w:rPr>
        <w:t xml:space="preserve"> </w:t>
      </w:r>
      <w:r w:rsidRPr="003E5CA2">
        <w:rPr>
          <w:color w:val="636369"/>
        </w:rPr>
        <w:t>incoming</w:t>
      </w:r>
      <w:r w:rsidRPr="003E5CA2">
        <w:rPr>
          <w:color w:val="636369"/>
          <w:spacing w:val="-5"/>
        </w:rPr>
        <w:t xml:space="preserve"> </w:t>
      </w:r>
      <w:r w:rsidRPr="003E5CA2">
        <w:rPr>
          <w:color w:val="636369"/>
        </w:rPr>
        <w:t>and</w:t>
      </w:r>
      <w:r w:rsidRPr="003E5CA2">
        <w:rPr>
          <w:color w:val="636369"/>
          <w:spacing w:val="-1"/>
        </w:rPr>
        <w:t xml:space="preserve"> </w:t>
      </w:r>
      <w:r w:rsidRPr="003E5CA2">
        <w:rPr>
          <w:color w:val="636369"/>
        </w:rPr>
        <w:t>outgoing</w:t>
      </w:r>
      <w:r w:rsidRPr="003E5CA2">
        <w:rPr>
          <w:color w:val="636369"/>
          <w:spacing w:val="-6"/>
        </w:rPr>
        <w:t xml:space="preserve"> </w:t>
      </w:r>
      <w:r w:rsidRPr="003E5CA2">
        <w:rPr>
          <w:color w:val="636369"/>
        </w:rPr>
        <w:t>wires,</w:t>
      </w:r>
      <w:r w:rsidRPr="003E5CA2">
        <w:rPr>
          <w:color w:val="636369"/>
          <w:spacing w:val="-4"/>
        </w:rPr>
        <w:t xml:space="preserve"> </w:t>
      </w:r>
      <w:r w:rsidRPr="003E5CA2">
        <w:rPr>
          <w:color w:val="636369"/>
          <w:spacing w:val="-2"/>
        </w:rPr>
        <w:t>annually.</w:t>
      </w:r>
      <w:r w:rsidR="00912E0F" w:rsidRPr="003E5CA2">
        <w:rPr>
          <w:color w:val="636369"/>
          <w:spacing w:val="-2"/>
        </w:rPr>
        <w:t xml:space="preserve">  </w:t>
      </w:r>
    </w:p>
    <w:p w14:paraId="52BF70E6" w14:textId="77777777" w:rsidR="00032023" w:rsidRDefault="00032023" w:rsidP="00526136">
      <w:pPr>
        <w:pStyle w:val="ListParagraph"/>
        <w:tabs>
          <w:tab w:val="left" w:pos="1077"/>
        </w:tabs>
        <w:spacing w:before="62"/>
        <w:ind w:left="1077" w:firstLine="0"/>
        <w:rPr>
          <w:color w:val="0070C0"/>
          <w:spacing w:val="-2"/>
        </w:rPr>
      </w:pPr>
      <w:r>
        <w:rPr>
          <w:color w:val="0070C0"/>
          <w:spacing w:val="-2"/>
        </w:rPr>
        <w:t>Day to Day Fund Transactions</w:t>
      </w:r>
    </w:p>
    <w:p w14:paraId="3629B97C" w14:textId="76B39181" w:rsidR="00702264" w:rsidRDefault="00303F3B" w:rsidP="00526136">
      <w:pPr>
        <w:pStyle w:val="ListParagraph"/>
        <w:tabs>
          <w:tab w:val="left" w:pos="1077"/>
        </w:tabs>
        <w:spacing w:before="62"/>
        <w:ind w:left="1077" w:firstLine="0"/>
        <w:rPr>
          <w:color w:val="0070C0"/>
          <w:spacing w:val="-2"/>
        </w:rPr>
      </w:pPr>
      <w:r w:rsidRPr="00303F3B">
        <w:rPr>
          <w:noProof/>
          <w:color w:val="0070C0"/>
          <w:spacing w:val="-2"/>
        </w:rPr>
        <w:drawing>
          <wp:inline distT="0" distB="0" distL="0" distR="0" wp14:anchorId="61E1FE64" wp14:editId="13AEEE0A">
            <wp:extent cx="5546035" cy="2372471"/>
            <wp:effectExtent l="0" t="0" r="0" b="8890"/>
            <wp:docPr id="618404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404873" name=""/>
                    <pic:cNvPicPr/>
                  </pic:nvPicPr>
                  <pic:blipFill>
                    <a:blip r:embed="rId8"/>
                    <a:stretch>
                      <a:fillRect/>
                    </a:stretch>
                  </pic:blipFill>
                  <pic:spPr>
                    <a:xfrm>
                      <a:off x="0" y="0"/>
                      <a:ext cx="5549061" cy="2373766"/>
                    </a:xfrm>
                    <a:prstGeom prst="rect">
                      <a:avLst/>
                    </a:prstGeom>
                  </pic:spPr>
                </pic:pic>
              </a:graphicData>
            </a:graphic>
          </wp:inline>
        </w:drawing>
      </w:r>
    </w:p>
    <w:p w14:paraId="309AEDAB" w14:textId="155B1BB2" w:rsidR="00526136" w:rsidRDefault="00526136" w:rsidP="00526136">
      <w:pPr>
        <w:pStyle w:val="ListParagraph"/>
        <w:tabs>
          <w:tab w:val="left" w:pos="1077"/>
        </w:tabs>
        <w:spacing w:before="62"/>
        <w:ind w:left="1077" w:firstLine="0"/>
        <w:rPr>
          <w:color w:val="0070C0"/>
          <w:spacing w:val="-2"/>
        </w:rPr>
      </w:pPr>
    </w:p>
    <w:p w14:paraId="39649C60" w14:textId="62B20F5E" w:rsidR="00526136" w:rsidRDefault="00702264" w:rsidP="00526136">
      <w:pPr>
        <w:pStyle w:val="ListParagraph"/>
        <w:tabs>
          <w:tab w:val="left" w:pos="1077"/>
        </w:tabs>
        <w:spacing w:before="62"/>
        <w:ind w:left="1077" w:firstLine="0"/>
        <w:rPr>
          <w:color w:val="0070C0"/>
          <w:spacing w:val="-2"/>
        </w:rPr>
      </w:pPr>
      <w:r>
        <w:rPr>
          <w:color w:val="0070C0"/>
          <w:spacing w:val="-2"/>
        </w:rPr>
        <w:t>Short-Term Bond Fund Transactions</w:t>
      </w:r>
      <w:r w:rsidR="00526136">
        <w:rPr>
          <w:color w:val="0070C0"/>
          <w:spacing w:val="-2"/>
        </w:rPr>
        <w:t>:</w:t>
      </w:r>
    </w:p>
    <w:p w14:paraId="4FD371BB" w14:textId="41F3A54E" w:rsidR="00CF0394" w:rsidRDefault="004010F0" w:rsidP="00526136">
      <w:pPr>
        <w:pStyle w:val="ListParagraph"/>
        <w:tabs>
          <w:tab w:val="left" w:pos="1077"/>
        </w:tabs>
        <w:spacing w:before="62"/>
        <w:ind w:left="1077" w:firstLine="0"/>
        <w:rPr>
          <w:color w:val="0070C0"/>
          <w:spacing w:val="-2"/>
        </w:rPr>
      </w:pPr>
      <w:r w:rsidRPr="004010F0">
        <w:rPr>
          <w:noProof/>
          <w:color w:val="0070C0"/>
          <w:spacing w:val="-2"/>
        </w:rPr>
        <w:drawing>
          <wp:inline distT="0" distB="0" distL="0" distR="0" wp14:anchorId="3B1984CE" wp14:editId="5D089E5D">
            <wp:extent cx="5378726" cy="2825895"/>
            <wp:effectExtent l="0" t="0" r="0" b="0"/>
            <wp:docPr id="1220418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418227" name=""/>
                    <pic:cNvPicPr/>
                  </pic:nvPicPr>
                  <pic:blipFill>
                    <a:blip r:embed="rId9"/>
                    <a:stretch>
                      <a:fillRect/>
                    </a:stretch>
                  </pic:blipFill>
                  <pic:spPr>
                    <a:xfrm>
                      <a:off x="0" y="0"/>
                      <a:ext cx="5378726" cy="2825895"/>
                    </a:xfrm>
                    <a:prstGeom prst="rect">
                      <a:avLst/>
                    </a:prstGeom>
                  </pic:spPr>
                </pic:pic>
              </a:graphicData>
            </a:graphic>
          </wp:inline>
        </w:drawing>
      </w:r>
    </w:p>
    <w:p w14:paraId="24FF8F27" w14:textId="77777777" w:rsidR="00526136" w:rsidRPr="00526136" w:rsidRDefault="00526136" w:rsidP="00526136">
      <w:pPr>
        <w:pStyle w:val="ListParagraph"/>
        <w:tabs>
          <w:tab w:val="left" w:pos="1077"/>
        </w:tabs>
        <w:spacing w:before="62"/>
        <w:ind w:left="1077" w:firstLine="0"/>
        <w:rPr>
          <w:color w:val="0070C0"/>
        </w:rPr>
      </w:pPr>
    </w:p>
    <w:p w14:paraId="180F1C5A" w14:textId="1932E724" w:rsidR="007B115F" w:rsidRPr="002D7AFD" w:rsidRDefault="006F2552" w:rsidP="002D7AFD">
      <w:pPr>
        <w:pStyle w:val="ListParagraph"/>
        <w:numPr>
          <w:ilvl w:val="0"/>
          <w:numId w:val="1"/>
        </w:numPr>
        <w:tabs>
          <w:tab w:val="left" w:pos="1077"/>
          <w:tab w:val="left" w:pos="1080"/>
        </w:tabs>
        <w:spacing w:before="62" w:line="302" w:lineRule="auto"/>
        <w:ind w:right="128"/>
        <w:rPr>
          <w:color w:val="00B050"/>
        </w:rPr>
      </w:pPr>
      <w:proofErr w:type="gramStart"/>
      <w:r w:rsidRPr="008933A8">
        <w:rPr>
          <w:color w:val="636369"/>
        </w:rPr>
        <w:t>Is</w:t>
      </w:r>
      <w:proofErr w:type="gramEnd"/>
      <w:r w:rsidRPr="008933A8">
        <w:rPr>
          <w:color w:val="636369"/>
          <w:spacing w:val="-4"/>
        </w:rPr>
        <w:t xml:space="preserve"> </w:t>
      </w:r>
      <w:r w:rsidRPr="008933A8">
        <w:rPr>
          <w:color w:val="636369"/>
        </w:rPr>
        <w:t>there</w:t>
      </w:r>
      <w:r w:rsidRPr="008933A8">
        <w:rPr>
          <w:color w:val="636369"/>
          <w:spacing w:val="-6"/>
        </w:rPr>
        <w:t xml:space="preserve"> </w:t>
      </w:r>
      <w:r w:rsidRPr="008933A8">
        <w:rPr>
          <w:color w:val="636369"/>
        </w:rPr>
        <w:t>any</w:t>
      </w:r>
      <w:r w:rsidRPr="008933A8">
        <w:rPr>
          <w:color w:val="636369"/>
          <w:spacing w:val="-4"/>
        </w:rPr>
        <w:t xml:space="preserve"> </w:t>
      </w:r>
      <w:r w:rsidRPr="008933A8">
        <w:rPr>
          <w:color w:val="636369"/>
        </w:rPr>
        <w:t>derivatives</w:t>
      </w:r>
      <w:r w:rsidRPr="008933A8">
        <w:rPr>
          <w:color w:val="636369"/>
          <w:spacing w:val="-4"/>
        </w:rPr>
        <w:t xml:space="preserve"> </w:t>
      </w:r>
      <w:r w:rsidRPr="008933A8">
        <w:rPr>
          <w:color w:val="636369"/>
        </w:rPr>
        <w:t>exposure?</w:t>
      </w:r>
      <w:r w:rsidRPr="008933A8">
        <w:rPr>
          <w:color w:val="636369"/>
          <w:spacing w:val="40"/>
        </w:rPr>
        <w:t xml:space="preserve"> </w:t>
      </w:r>
      <w:r w:rsidRPr="008933A8">
        <w:rPr>
          <w:color w:val="636369"/>
        </w:rPr>
        <w:t>If</w:t>
      </w:r>
      <w:r w:rsidRPr="008933A8">
        <w:rPr>
          <w:color w:val="636369"/>
          <w:spacing w:val="-5"/>
        </w:rPr>
        <w:t xml:space="preserve"> </w:t>
      </w:r>
      <w:r w:rsidRPr="008933A8">
        <w:rPr>
          <w:color w:val="636369"/>
        </w:rPr>
        <w:t>so,</w:t>
      </w:r>
      <w:r w:rsidRPr="008933A8">
        <w:rPr>
          <w:color w:val="636369"/>
          <w:spacing w:val="-5"/>
        </w:rPr>
        <w:t xml:space="preserve"> </w:t>
      </w:r>
      <w:r w:rsidRPr="008933A8">
        <w:rPr>
          <w:color w:val="636369"/>
        </w:rPr>
        <w:t>please</w:t>
      </w:r>
      <w:r w:rsidRPr="008933A8">
        <w:rPr>
          <w:color w:val="636369"/>
          <w:spacing w:val="-1"/>
        </w:rPr>
        <w:t xml:space="preserve"> </w:t>
      </w:r>
      <w:r w:rsidRPr="008933A8">
        <w:rPr>
          <w:color w:val="636369"/>
        </w:rPr>
        <w:t>provide</w:t>
      </w:r>
      <w:r w:rsidRPr="008933A8">
        <w:rPr>
          <w:color w:val="636369"/>
          <w:spacing w:val="-1"/>
        </w:rPr>
        <w:t xml:space="preserve"> </w:t>
      </w:r>
      <w:r w:rsidRPr="008933A8">
        <w:rPr>
          <w:color w:val="636369"/>
        </w:rPr>
        <w:t>the</w:t>
      </w:r>
      <w:r w:rsidRPr="008933A8">
        <w:rPr>
          <w:color w:val="636369"/>
          <w:spacing w:val="-1"/>
        </w:rPr>
        <w:t xml:space="preserve"> </w:t>
      </w:r>
      <w:r w:rsidRPr="008933A8">
        <w:rPr>
          <w:color w:val="636369"/>
        </w:rPr>
        <w:t>type</w:t>
      </w:r>
      <w:r w:rsidRPr="008933A8">
        <w:rPr>
          <w:color w:val="636369"/>
          <w:spacing w:val="-1"/>
        </w:rPr>
        <w:t xml:space="preserve"> </w:t>
      </w:r>
      <w:r w:rsidRPr="008933A8">
        <w:rPr>
          <w:color w:val="636369"/>
        </w:rPr>
        <w:t>of</w:t>
      </w:r>
      <w:r w:rsidRPr="008933A8">
        <w:rPr>
          <w:color w:val="636369"/>
          <w:spacing w:val="-5"/>
        </w:rPr>
        <w:t xml:space="preserve"> </w:t>
      </w:r>
      <w:r w:rsidRPr="008933A8">
        <w:rPr>
          <w:color w:val="636369"/>
        </w:rPr>
        <w:t>position,</w:t>
      </w:r>
      <w:r w:rsidRPr="008933A8">
        <w:rPr>
          <w:color w:val="636369"/>
          <w:spacing w:val="-5"/>
        </w:rPr>
        <w:t xml:space="preserve"> </w:t>
      </w:r>
      <w:r w:rsidRPr="008933A8">
        <w:rPr>
          <w:color w:val="636369"/>
        </w:rPr>
        <w:t>how</w:t>
      </w:r>
      <w:r w:rsidRPr="008933A8">
        <w:rPr>
          <w:color w:val="636369"/>
          <w:spacing w:val="-3"/>
        </w:rPr>
        <w:t xml:space="preserve"> </w:t>
      </w:r>
      <w:r w:rsidRPr="008933A8">
        <w:rPr>
          <w:color w:val="636369"/>
        </w:rPr>
        <w:t>many</w:t>
      </w:r>
      <w:r w:rsidRPr="008933A8">
        <w:rPr>
          <w:color w:val="636369"/>
          <w:spacing w:val="-4"/>
        </w:rPr>
        <w:t xml:space="preserve"> </w:t>
      </w:r>
      <w:r w:rsidRPr="008933A8">
        <w:rPr>
          <w:color w:val="636369"/>
        </w:rPr>
        <w:t>open</w:t>
      </w:r>
      <w:r w:rsidRPr="008933A8">
        <w:rPr>
          <w:color w:val="636369"/>
          <w:spacing w:val="-1"/>
        </w:rPr>
        <w:t xml:space="preserve"> </w:t>
      </w:r>
      <w:r w:rsidRPr="008933A8">
        <w:rPr>
          <w:color w:val="636369"/>
        </w:rPr>
        <w:t>positions and the typical annual trade activity by position type.</w:t>
      </w:r>
      <w:r w:rsidR="002D7AFD">
        <w:rPr>
          <w:color w:val="636369"/>
        </w:rPr>
        <w:t xml:space="preserve">  </w:t>
      </w:r>
      <w:r w:rsidR="00CA719B" w:rsidRPr="00CA719B">
        <w:rPr>
          <w:color w:val="0070C0"/>
        </w:rPr>
        <w:t>No. Derivates are not permitted in the funds.</w:t>
      </w:r>
    </w:p>
    <w:p w14:paraId="180F1C5B" w14:textId="3BD1B88A" w:rsidR="007B115F" w:rsidRDefault="006F2552">
      <w:pPr>
        <w:pStyle w:val="ListParagraph"/>
        <w:numPr>
          <w:ilvl w:val="0"/>
          <w:numId w:val="1"/>
        </w:numPr>
        <w:tabs>
          <w:tab w:val="left" w:pos="1077"/>
        </w:tabs>
        <w:spacing w:line="250" w:lineRule="exact"/>
        <w:ind w:left="1077" w:hanging="357"/>
      </w:pPr>
      <w:r>
        <w:rPr>
          <w:color w:val="636369"/>
        </w:rPr>
        <w:t>Please</w:t>
      </w:r>
      <w:r>
        <w:rPr>
          <w:color w:val="636369"/>
          <w:spacing w:val="-1"/>
        </w:rPr>
        <w:t xml:space="preserve"> </w:t>
      </w:r>
      <w:r>
        <w:rPr>
          <w:color w:val="636369"/>
        </w:rPr>
        <w:t>confirm</w:t>
      </w:r>
      <w:r>
        <w:rPr>
          <w:color w:val="636369"/>
          <w:spacing w:val="-1"/>
        </w:rPr>
        <w:t xml:space="preserve"> </w:t>
      </w:r>
      <w:r>
        <w:rPr>
          <w:color w:val="636369"/>
        </w:rPr>
        <w:t>if</w:t>
      </w:r>
      <w:r>
        <w:rPr>
          <w:color w:val="636369"/>
          <w:spacing w:val="-4"/>
        </w:rPr>
        <w:t xml:space="preserve"> </w:t>
      </w:r>
      <w:r>
        <w:rPr>
          <w:color w:val="636369"/>
        </w:rPr>
        <w:t>there is</w:t>
      </w:r>
      <w:r>
        <w:rPr>
          <w:color w:val="636369"/>
          <w:spacing w:val="-8"/>
        </w:rPr>
        <w:t xml:space="preserve"> </w:t>
      </w:r>
      <w:r>
        <w:rPr>
          <w:color w:val="636369"/>
        </w:rPr>
        <w:t>any</w:t>
      </w:r>
      <w:r>
        <w:rPr>
          <w:color w:val="636369"/>
          <w:spacing w:val="-4"/>
        </w:rPr>
        <w:t xml:space="preserve"> </w:t>
      </w:r>
      <w:r>
        <w:rPr>
          <w:color w:val="636369"/>
        </w:rPr>
        <w:t>interest</w:t>
      </w:r>
      <w:r>
        <w:rPr>
          <w:color w:val="636369"/>
          <w:spacing w:val="-4"/>
        </w:rPr>
        <w:t xml:space="preserve"> </w:t>
      </w:r>
      <w:r>
        <w:rPr>
          <w:color w:val="636369"/>
        </w:rPr>
        <w:t>in</w:t>
      </w:r>
      <w:r>
        <w:rPr>
          <w:color w:val="636369"/>
          <w:spacing w:val="6"/>
        </w:rPr>
        <w:t xml:space="preserve"> </w:t>
      </w:r>
      <w:r>
        <w:rPr>
          <w:color w:val="636369"/>
        </w:rPr>
        <w:t>pricing</w:t>
      </w:r>
      <w:r>
        <w:rPr>
          <w:color w:val="636369"/>
          <w:spacing w:val="-5"/>
        </w:rPr>
        <w:t xml:space="preserve"> </w:t>
      </w:r>
      <w:r>
        <w:rPr>
          <w:color w:val="636369"/>
        </w:rPr>
        <w:t>information</w:t>
      </w:r>
      <w:r>
        <w:rPr>
          <w:color w:val="636369"/>
          <w:spacing w:val="-1"/>
        </w:rPr>
        <w:t xml:space="preserve"> </w:t>
      </w:r>
      <w:r>
        <w:rPr>
          <w:color w:val="636369"/>
        </w:rPr>
        <w:t>for</w:t>
      </w:r>
      <w:r>
        <w:rPr>
          <w:color w:val="636369"/>
          <w:spacing w:val="-6"/>
        </w:rPr>
        <w:t xml:space="preserve"> </w:t>
      </w:r>
      <w:r>
        <w:rPr>
          <w:color w:val="636369"/>
        </w:rPr>
        <w:t>our</w:t>
      </w:r>
      <w:r>
        <w:rPr>
          <w:color w:val="636369"/>
          <w:spacing w:val="-1"/>
        </w:rPr>
        <w:t xml:space="preserve"> </w:t>
      </w:r>
      <w:r>
        <w:rPr>
          <w:color w:val="636369"/>
        </w:rPr>
        <w:t>Treasury</w:t>
      </w:r>
      <w:r>
        <w:rPr>
          <w:color w:val="636369"/>
          <w:spacing w:val="3"/>
        </w:rPr>
        <w:t xml:space="preserve"> </w:t>
      </w:r>
      <w:r>
        <w:rPr>
          <w:color w:val="636369"/>
        </w:rPr>
        <w:t>Money</w:t>
      </w:r>
      <w:r>
        <w:rPr>
          <w:color w:val="636369"/>
          <w:spacing w:val="-8"/>
        </w:rPr>
        <w:t xml:space="preserve"> </w:t>
      </w:r>
      <w:r>
        <w:rPr>
          <w:color w:val="636369"/>
        </w:rPr>
        <w:t>Market</w:t>
      </w:r>
      <w:r>
        <w:rPr>
          <w:color w:val="636369"/>
          <w:spacing w:val="-4"/>
        </w:rPr>
        <w:t xml:space="preserve"> </w:t>
      </w:r>
      <w:r>
        <w:rPr>
          <w:color w:val="636369"/>
          <w:spacing w:val="-2"/>
        </w:rPr>
        <w:t>Fund.</w:t>
      </w:r>
      <w:r w:rsidR="00E148DC">
        <w:rPr>
          <w:color w:val="636369"/>
          <w:spacing w:val="-2"/>
        </w:rPr>
        <w:t xml:space="preserve"> </w:t>
      </w:r>
      <w:r w:rsidR="00350EE0">
        <w:rPr>
          <w:color w:val="0070C0"/>
          <w:spacing w:val="-2"/>
        </w:rPr>
        <w:t>No. According to Section 6.03 Prohibited Transactions of the Declaration of Trust</w:t>
      </w:r>
      <w:r w:rsidR="0012102D">
        <w:rPr>
          <w:color w:val="0070C0"/>
          <w:spacing w:val="-2"/>
        </w:rPr>
        <w:t>: “With respect to transactions involving Trust Property, the Custodian shall act strictly as agent for the Trust. The Trustees shall not purchase Permitted Investments from the Custodian or sell Permitted Investments to the Custodian.”</w:t>
      </w:r>
    </w:p>
    <w:sectPr w:rsidR="007B115F" w:rsidSect="00854532">
      <w:headerReference w:type="default" r:id="rId10"/>
      <w:footerReference w:type="default" r:id="rId11"/>
      <w:type w:val="continuous"/>
      <w:pgSz w:w="12240" w:h="15840"/>
      <w:pgMar w:top="1440" w:right="1440" w:bottom="1440" w:left="1440" w:header="0" w:footer="45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1C036" w14:textId="77777777" w:rsidR="00AF4514" w:rsidRDefault="00AF4514">
      <w:r>
        <w:separator/>
      </w:r>
    </w:p>
  </w:endnote>
  <w:endnote w:type="continuationSeparator" w:id="0">
    <w:p w14:paraId="13CEEA7C" w14:textId="77777777" w:rsidR="00AF4514" w:rsidRDefault="00AF4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1C60" w14:textId="74DB88DC" w:rsidR="007B115F" w:rsidRDefault="007B115F">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99B1E" w14:textId="77777777" w:rsidR="00AF4514" w:rsidRDefault="00AF4514">
      <w:r>
        <w:separator/>
      </w:r>
    </w:p>
  </w:footnote>
  <w:footnote w:type="continuationSeparator" w:id="0">
    <w:p w14:paraId="26C95726" w14:textId="77777777" w:rsidR="00AF4514" w:rsidRDefault="00AF4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B25D" w14:textId="77777777" w:rsidR="00854532" w:rsidRDefault="00854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C579F"/>
    <w:multiLevelType w:val="hybridMultilevel"/>
    <w:tmpl w:val="AC860D4A"/>
    <w:lvl w:ilvl="0" w:tplc="3F5E6FA2">
      <w:start w:val="1"/>
      <w:numFmt w:val="decimal"/>
      <w:lvlText w:val="%1."/>
      <w:lvlJc w:val="left"/>
      <w:pPr>
        <w:ind w:left="1080" w:hanging="360"/>
        <w:jc w:val="left"/>
      </w:pPr>
      <w:rPr>
        <w:rFonts w:ascii="Arial" w:eastAsia="Arial" w:hAnsi="Arial" w:cs="Arial" w:hint="default"/>
        <w:b w:val="0"/>
        <w:bCs w:val="0"/>
        <w:i w:val="0"/>
        <w:iCs w:val="0"/>
        <w:color w:val="636369"/>
        <w:spacing w:val="0"/>
        <w:w w:val="100"/>
        <w:sz w:val="22"/>
        <w:szCs w:val="22"/>
        <w:lang w:val="en-US" w:eastAsia="en-US" w:bidi="ar-SA"/>
      </w:rPr>
    </w:lvl>
    <w:lvl w:ilvl="1" w:tplc="F4B098B4">
      <w:numFmt w:val="bullet"/>
      <w:lvlText w:val="•"/>
      <w:lvlJc w:val="left"/>
      <w:pPr>
        <w:ind w:left="2088" w:hanging="360"/>
      </w:pPr>
      <w:rPr>
        <w:rFonts w:hint="default"/>
        <w:lang w:val="en-US" w:eastAsia="en-US" w:bidi="ar-SA"/>
      </w:rPr>
    </w:lvl>
    <w:lvl w:ilvl="2" w:tplc="CF4E8DE0">
      <w:numFmt w:val="bullet"/>
      <w:lvlText w:val="•"/>
      <w:lvlJc w:val="left"/>
      <w:pPr>
        <w:ind w:left="3096" w:hanging="360"/>
      </w:pPr>
      <w:rPr>
        <w:rFonts w:hint="default"/>
        <w:lang w:val="en-US" w:eastAsia="en-US" w:bidi="ar-SA"/>
      </w:rPr>
    </w:lvl>
    <w:lvl w:ilvl="3" w:tplc="4AB8C486">
      <w:numFmt w:val="bullet"/>
      <w:lvlText w:val="•"/>
      <w:lvlJc w:val="left"/>
      <w:pPr>
        <w:ind w:left="4104" w:hanging="360"/>
      </w:pPr>
      <w:rPr>
        <w:rFonts w:hint="default"/>
        <w:lang w:val="en-US" w:eastAsia="en-US" w:bidi="ar-SA"/>
      </w:rPr>
    </w:lvl>
    <w:lvl w:ilvl="4" w:tplc="FDA8AA1C">
      <w:numFmt w:val="bullet"/>
      <w:lvlText w:val="•"/>
      <w:lvlJc w:val="left"/>
      <w:pPr>
        <w:ind w:left="5112" w:hanging="360"/>
      </w:pPr>
      <w:rPr>
        <w:rFonts w:hint="default"/>
        <w:lang w:val="en-US" w:eastAsia="en-US" w:bidi="ar-SA"/>
      </w:rPr>
    </w:lvl>
    <w:lvl w:ilvl="5" w:tplc="6A5018E8">
      <w:numFmt w:val="bullet"/>
      <w:lvlText w:val="•"/>
      <w:lvlJc w:val="left"/>
      <w:pPr>
        <w:ind w:left="6120" w:hanging="360"/>
      </w:pPr>
      <w:rPr>
        <w:rFonts w:hint="default"/>
        <w:lang w:val="en-US" w:eastAsia="en-US" w:bidi="ar-SA"/>
      </w:rPr>
    </w:lvl>
    <w:lvl w:ilvl="6" w:tplc="CFF23660">
      <w:numFmt w:val="bullet"/>
      <w:lvlText w:val="•"/>
      <w:lvlJc w:val="left"/>
      <w:pPr>
        <w:ind w:left="7128" w:hanging="360"/>
      </w:pPr>
      <w:rPr>
        <w:rFonts w:hint="default"/>
        <w:lang w:val="en-US" w:eastAsia="en-US" w:bidi="ar-SA"/>
      </w:rPr>
    </w:lvl>
    <w:lvl w:ilvl="7" w:tplc="8BDE29F8">
      <w:numFmt w:val="bullet"/>
      <w:lvlText w:val="•"/>
      <w:lvlJc w:val="left"/>
      <w:pPr>
        <w:ind w:left="8136" w:hanging="360"/>
      </w:pPr>
      <w:rPr>
        <w:rFonts w:hint="default"/>
        <w:lang w:val="en-US" w:eastAsia="en-US" w:bidi="ar-SA"/>
      </w:rPr>
    </w:lvl>
    <w:lvl w:ilvl="8" w:tplc="610A5408">
      <w:numFmt w:val="bullet"/>
      <w:lvlText w:val="•"/>
      <w:lvlJc w:val="left"/>
      <w:pPr>
        <w:ind w:left="9144" w:hanging="360"/>
      </w:pPr>
      <w:rPr>
        <w:rFonts w:hint="default"/>
        <w:lang w:val="en-US" w:eastAsia="en-US" w:bidi="ar-SA"/>
      </w:rPr>
    </w:lvl>
  </w:abstractNum>
  <w:num w:numId="1" w16cid:durableId="82100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15F"/>
    <w:rsid w:val="00032023"/>
    <w:rsid w:val="00064CE7"/>
    <w:rsid w:val="00096BBD"/>
    <w:rsid w:val="000C376B"/>
    <w:rsid w:val="000F5DA9"/>
    <w:rsid w:val="00101B21"/>
    <w:rsid w:val="0012102D"/>
    <w:rsid w:val="00167667"/>
    <w:rsid w:val="00167F07"/>
    <w:rsid w:val="0018085C"/>
    <w:rsid w:val="001C1A70"/>
    <w:rsid w:val="001E2781"/>
    <w:rsid w:val="001F1EC1"/>
    <w:rsid w:val="001F6E7A"/>
    <w:rsid w:val="0022195F"/>
    <w:rsid w:val="00251729"/>
    <w:rsid w:val="00295346"/>
    <w:rsid w:val="002C656F"/>
    <w:rsid w:val="002D5766"/>
    <w:rsid w:val="002D7AFD"/>
    <w:rsid w:val="00301A73"/>
    <w:rsid w:val="00303F3B"/>
    <w:rsid w:val="00307FA7"/>
    <w:rsid w:val="00323B12"/>
    <w:rsid w:val="00327CF8"/>
    <w:rsid w:val="003473C5"/>
    <w:rsid w:val="00350EE0"/>
    <w:rsid w:val="00364AD4"/>
    <w:rsid w:val="0039325F"/>
    <w:rsid w:val="00397A83"/>
    <w:rsid w:val="003E5CA2"/>
    <w:rsid w:val="004010F0"/>
    <w:rsid w:val="00406C7E"/>
    <w:rsid w:val="00456F83"/>
    <w:rsid w:val="0047617B"/>
    <w:rsid w:val="004A3981"/>
    <w:rsid w:val="004D3BBF"/>
    <w:rsid w:val="004E1A0C"/>
    <w:rsid w:val="00526136"/>
    <w:rsid w:val="0057731D"/>
    <w:rsid w:val="005B5ACF"/>
    <w:rsid w:val="005C43FB"/>
    <w:rsid w:val="005F3BA1"/>
    <w:rsid w:val="006A7C29"/>
    <w:rsid w:val="006C1C02"/>
    <w:rsid w:val="006C30B4"/>
    <w:rsid w:val="006D04C7"/>
    <w:rsid w:val="006D450F"/>
    <w:rsid w:val="006E6DF7"/>
    <w:rsid w:val="006E7312"/>
    <w:rsid w:val="006F2552"/>
    <w:rsid w:val="00702264"/>
    <w:rsid w:val="007039B7"/>
    <w:rsid w:val="007102F3"/>
    <w:rsid w:val="00722048"/>
    <w:rsid w:val="0075284C"/>
    <w:rsid w:val="007B115F"/>
    <w:rsid w:val="007C4210"/>
    <w:rsid w:val="007F366B"/>
    <w:rsid w:val="007F3EC3"/>
    <w:rsid w:val="00854532"/>
    <w:rsid w:val="00887733"/>
    <w:rsid w:val="00887935"/>
    <w:rsid w:val="008933A8"/>
    <w:rsid w:val="008942EF"/>
    <w:rsid w:val="008E55DC"/>
    <w:rsid w:val="00912E0F"/>
    <w:rsid w:val="009341A4"/>
    <w:rsid w:val="00940038"/>
    <w:rsid w:val="00993852"/>
    <w:rsid w:val="009A3A3B"/>
    <w:rsid w:val="009B73D8"/>
    <w:rsid w:val="009F1AB7"/>
    <w:rsid w:val="00A072B7"/>
    <w:rsid w:val="00A44E4D"/>
    <w:rsid w:val="00A53472"/>
    <w:rsid w:val="00A571DD"/>
    <w:rsid w:val="00A63B3D"/>
    <w:rsid w:val="00A721FE"/>
    <w:rsid w:val="00AA6663"/>
    <w:rsid w:val="00AD092F"/>
    <w:rsid w:val="00AF4514"/>
    <w:rsid w:val="00B05AEE"/>
    <w:rsid w:val="00B401A0"/>
    <w:rsid w:val="00B42211"/>
    <w:rsid w:val="00B6576A"/>
    <w:rsid w:val="00BD4BF7"/>
    <w:rsid w:val="00BE5EAC"/>
    <w:rsid w:val="00C523A7"/>
    <w:rsid w:val="00C53B6B"/>
    <w:rsid w:val="00CA719B"/>
    <w:rsid w:val="00CC04A9"/>
    <w:rsid w:val="00CD5F1B"/>
    <w:rsid w:val="00CF0394"/>
    <w:rsid w:val="00CF3B36"/>
    <w:rsid w:val="00D222CB"/>
    <w:rsid w:val="00DA4C9E"/>
    <w:rsid w:val="00E03264"/>
    <w:rsid w:val="00E148DC"/>
    <w:rsid w:val="00E21BED"/>
    <w:rsid w:val="00E32529"/>
    <w:rsid w:val="00E37265"/>
    <w:rsid w:val="00E42046"/>
    <w:rsid w:val="00E614C6"/>
    <w:rsid w:val="00EA1EE0"/>
    <w:rsid w:val="00EF3A66"/>
    <w:rsid w:val="00F56E21"/>
    <w:rsid w:val="00FA24A5"/>
    <w:rsid w:val="00FD4F69"/>
    <w:rsid w:val="00FD74BD"/>
    <w:rsid w:val="00FE1B3C"/>
    <w:rsid w:val="00FF5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F1C46"/>
  <w15:docId w15:val="{C351C3FD-7DE9-4EC2-8238-5C2B568C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8" w:hanging="358"/>
    </w:pPr>
  </w:style>
  <w:style w:type="paragraph" w:styleId="Title">
    <w:name w:val="Title"/>
    <w:basedOn w:val="Normal"/>
    <w:uiPriority w:val="10"/>
    <w:qFormat/>
    <w:pPr>
      <w:spacing w:before="1"/>
      <w:ind w:left="920"/>
    </w:pPr>
    <w:rPr>
      <w:rFonts w:ascii="Century Gothic" w:eastAsia="Century Gothic" w:hAnsi="Century Gothic" w:cs="Century Gothic"/>
      <w:b/>
      <w:bCs/>
      <w:sz w:val="28"/>
      <w:szCs w:val="28"/>
    </w:rPr>
  </w:style>
  <w:style w:type="paragraph" w:styleId="ListParagraph">
    <w:name w:val="List Paragraph"/>
    <w:basedOn w:val="Normal"/>
    <w:uiPriority w:val="1"/>
    <w:qFormat/>
    <w:pPr>
      <w:ind w:left="1078"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D092F"/>
    <w:pPr>
      <w:tabs>
        <w:tab w:val="center" w:pos="4680"/>
        <w:tab w:val="right" w:pos="9360"/>
      </w:tabs>
    </w:pPr>
  </w:style>
  <w:style w:type="character" w:customStyle="1" w:styleId="HeaderChar">
    <w:name w:val="Header Char"/>
    <w:basedOn w:val="DefaultParagraphFont"/>
    <w:link w:val="Header"/>
    <w:uiPriority w:val="99"/>
    <w:rsid w:val="00AD092F"/>
    <w:rPr>
      <w:rFonts w:ascii="Arial" w:eastAsia="Arial" w:hAnsi="Arial" w:cs="Arial"/>
    </w:rPr>
  </w:style>
  <w:style w:type="paragraph" w:styleId="Footer">
    <w:name w:val="footer"/>
    <w:basedOn w:val="Normal"/>
    <w:link w:val="FooterChar"/>
    <w:uiPriority w:val="99"/>
    <w:unhideWhenUsed/>
    <w:rsid w:val="00AD092F"/>
    <w:pPr>
      <w:tabs>
        <w:tab w:val="center" w:pos="4680"/>
        <w:tab w:val="right" w:pos="9360"/>
      </w:tabs>
    </w:pPr>
  </w:style>
  <w:style w:type="character" w:customStyle="1" w:styleId="FooterChar">
    <w:name w:val="Footer Char"/>
    <w:basedOn w:val="DefaultParagraphFont"/>
    <w:link w:val="Footer"/>
    <w:uiPriority w:val="99"/>
    <w:rsid w:val="00AD092F"/>
    <w:rPr>
      <w:rFonts w:ascii="Arial" w:eastAsia="Arial" w:hAnsi="Arial" w:cs="Arial"/>
    </w:rPr>
  </w:style>
  <w:style w:type="character" w:styleId="Hyperlink">
    <w:name w:val="Hyperlink"/>
    <w:basedOn w:val="DefaultParagraphFont"/>
    <w:uiPriority w:val="99"/>
    <w:unhideWhenUsed/>
    <w:rsid w:val="00CD5F1B"/>
    <w:rPr>
      <w:color w:val="0000FF" w:themeColor="hyperlink"/>
      <w:u w:val="single"/>
    </w:rPr>
  </w:style>
  <w:style w:type="character" w:styleId="UnresolvedMention">
    <w:name w:val="Unresolved Mention"/>
    <w:basedOn w:val="DefaultParagraphFont"/>
    <w:uiPriority w:val="99"/>
    <w:semiHidden/>
    <w:unhideWhenUsed/>
    <w:rsid w:val="00CD5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loridatrustonline.com/resources/repor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3232</Characters>
  <Application>Microsoft Office Word</Application>
  <DocSecurity>0</DocSecurity>
  <Lines>46</Lines>
  <Paragraphs>8</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Seitzmeir</dc:creator>
  <cp:lastModifiedBy>Bryant E Gries</cp:lastModifiedBy>
  <cp:revision>3</cp:revision>
  <dcterms:created xsi:type="dcterms:W3CDTF">2026-05-29T20:06:00Z</dcterms:created>
  <dcterms:modified xsi:type="dcterms:W3CDTF">2026-05-29T20:06:00Z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2026-05-22T00:00:00Z</vt:filetime>
  </property>
  <property fmtid="{D5CDD505-2E9C-101B-9397-08002B2CF9AE}" pid="3" name="LastSaved">
    <vt:filetime>2026-05-26T00:00:00Z</vt:filetime>
  </property>
  <property fmtid="{D5CDD505-2E9C-101B-9397-08002B2CF9AE}" pid="4" name="MSIP_Label_8c67879e-2702-40b0-b4c3-786b11534185_ActionId">
    <vt:lpwstr>d21325cd-9e17-4fbf-9ab6-027b9827e8aa</vt:lpwstr>
  </property>
  <property fmtid="{D5CDD505-2E9C-101B-9397-08002B2CF9AE}" pid="5" name="MSIP_Label_8c67879e-2702-40b0-b4c3-786b11534185_Enabled">
    <vt:lpwstr>True</vt:lpwstr>
  </property>
  <property fmtid="{D5CDD505-2E9C-101B-9397-08002B2CF9AE}" pid="6" name="MSIP_Label_8c67879e-2702-40b0-b4c3-786b11534185_Extended_MSFT_Method">
    <vt:lpwstr>Standard</vt:lpwstr>
  </property>
  <property fmtid="{D5CDD505-2E9C-101B-9397-08002B2CF9AE}" pid="7" name="MSIP_Label_8c67879e-2702-40b0-b4c3-786b11534185_Name">
    <vt:lpwstr>Highly Sensitive</vt:lpwstr>
  </property>
  <property fmtid="{D5CDD505-2E9C-101B-9397-08002B2CF9AE}" pid="8" name="MSIP_Label_8c67879e-2702-40b0-b4c3-786b11534185_SetDate">
    <vt:lpwstr>2025-01-13T15:40:36Z</vt:lpwstr>
  </property>
  <property fmtid="{D5CDD505-2E9C-101B-9397-08002B2CF9AE}" pid="9" name="MSIP_Label_8c67879e-2702-40b0-b4c3-786b11534185_SiteId">
    <vt:lpwstr>2434528d-4270-4977-81dd-a6308c1761a3</vt:lpwstr>
  </property>
  <property fmtid="{D5CDD505-2E9C-101B-9397-08002B2CF9AE}" pid="10" name="MSIP_Label_9cb920eb-b3ed-48c8-ae51-48e671a4e38e_ActionId">
    <vt:lpwstr>e57b0455-bb7a-4ded-a69a-2a728b34feb4</vt:lpwstr>
  </property>
  <property fmtid="{D5CDD505-2E9C-101B-9397-08002B2CF9AE}" pid="11" name="MSIP_Label_9cb920eb-b3ed-48c8-ae51-48e671a4e38e_Enabled">
    <vt:lpwstr>True</vt:lpwstr>
  </property>
  <property fmtid="{D5CDD505-2E9C-101B-9397-08002B2CF9AE}" pid="12" name="MSIP_Label_9cb920eb-b3ed-48c8-ae51-48e671a4e38e_Extended_MSFT_Method">
    <vt:lpwstr>Standard</vt:lpwstr>
  </property>
  <property fmtid="{D5CDD505-2E9C-101B-9397-08002B2CF9AE}" pid="13" name="MSIP_Label_9cb920eb-b3ed-48c8-ae51-48e671a4e38e_Name">
    <vt:lpwstr>Highly Sensitive \ Highly Sensitive - NT Internal - No Footer</vt:lpwstr>
  </property>
  <property fmtid="{D5CDD505-2E9C-101B-9397-08002B2CF9AE}" pid="14" name="MSIP_Label_9cb920eb-b3ed-48c8-ae51-48e671a4e38e_Parent">
    <vt:lpwstr>8c67879e-2702-40b0-b4c3-786b11534185</vt:lpwstr>
  </property>
  <property fmtid="{D5CDD505-2E9C-101B-9397-08002B2CF9AE}" pid="15" name="MSIP_Label_9cb920eb-b3ed-48c8-ae51-48e671a4e38e_Removed">
    <vt:lpwstr>False</vt:lpwstr>
  </property>
  <property fmtid="{D5CDD505-2E9C-101B-9397-08002B2CF9AE}" pid="16" name="MSIP_Label_9cb920eb-b3ed-48c8-ae51-48e671a4e38e_SetDate">
    <vt:lpwstr>2025-01-13T15:40:36Z</vt:lpwstr>
  </property>
  <property fmtid="{D5CDD505-2E9C-101B-9397-08002B2CF9AE}" pid="17" name="MSIP_Label_9cb920eb-b3ed-48c8-ae51-48e671a4e38e_SiteId">
    <vt:lpwstr>2434528d-4270-4977-81dd-a6308c1761a3</vt:lpwstr>
  </property>
</Properties>
</file>